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6094" w14:textId="77777777" w:rsidR="001961D8" w:rsidRPr="001961D8" w:rsidRDefault="001961D8" w:rsidP="001961D8">
      <w:pPr>
        <w:spacing w:after="0" w:line="240" w:lineRule="auto"/>
        <w:contextualSpacing/>
        <w:jc w:val="center"/>
        <w:rPr>
          <w:rFonts w:ascii="Arial" w:hAnsi="Arial" w:cs="Arial"/>
          <w:noProof/>
          <w:color w:val="44546A" w:themeColor="text2"/>
        </w:rPr>
      </w:pPr>
    </w:p>
    <w:p w14:paraId="20DADBC5" w14:textId="77777777" w:rsidR="001961D8" w:rsidRPr="001961D8" w:rsidRDefault="001961D8" w:rsidP="001961D8">
      <w:pPr>
        <w:spacing w:after="240" w:line="240" w:lineRule="auto"/>
        <w:jc w:val="center"/>
        <w:rPr>
          <w:rFonts w:ascii="Arial" w:hAnsi="Arial" w:cs="Arial"/>
          <w:b/>
          <w:bCs/>
          <w:noProof/>
        </w:rPr>
      </w:pPr>
      <w:bookmarkStart w:id="0" w:name="_Hlk127959115"/>
    </w:p>
    <w:p w14:paraId="072DCB6B" w14:textId="19EAAD81" w:rsidR="001961D8" w:rsidRPr="001961D8" w:rsidRDefault="001961D8" w:rsidP="001961D8">
      <w:pPr>
        <w:spacing w:after="240" w:line="240" w:lineRule="auto"/>
        <w:jc w:val="center"/>
        <w:rPr>
          <w:rFonts w:ascii="Arial" w:hAnsi="Arial" w:cs="Arial"/>
          <w:b/>
          <w:bCs/>
          <w:noProof/>
        </w:rPr>
      </w:pPr>
      <w:r>
        <w:rPr>
          <w:rFonts w:ascii="Arial" w:hAnsi="Arial"/>
          <w:b/>
          <w:bCs/>
        </w:rPr>
        <w:t xml:space="preserve">Stellantis e Koç Holding rafforzano </w:t>
      </w:r>
      <w:r w:rsidR="00267C87">
        <w:rPr>
          <w:rFonts w:ascii="Arial" w:hAnsi="Arial"/>
          <w:b/>
          <w:bCs/>
        </w:rPr>
        <w:t>Tofaş</w:t>
      </w:r>
      <w:r>
        <w:rPr>
          <w:rFonts w:ascii="Arial" w:hAnsi="Arial"/>
          <w:b/>
          <w:bCs/>
        </w:rPr>
        <w:t xml:space="preserve"> e consolidano la partnership in Turchia</w:t>
      </w:r>
    </w:p>
    <w:p w14:paraId="02E179DA" w14:textId="77777777" w:rsidR="001961D8" w:rsidRPr="001961D8" w:rsidRDefault="001961D8" w:rsidP="001961D8">
      <w:pPr>
        <w:spacing w:after="240" w:line="240" w:lineRule="auto"/>
        <w:jc w:val="center"/>
        <w:rPr>
          <w:rFonts w:ascii="Arial" w:hAnsi="Arial" w:cs="Arial"/>
          <w:b/>
          <w:bCs/>
          <w:noProof/>
        </w:rPr>
      </w:pPr>
    </w:p>
    <w:p w14:paraId="1F0C5998" w14:textId="058A8026" w:rsidR="001961D8" w:rsidRPr="00781D08" w:rsidRDefault="001961D8" w:rsidP="001961D8">
      <w:pPr>
        <w:numPr>
          <w:ilvl w:val="0"/>
          <w:numId w:val="1"/>
        </w:numPr>
        <w:spacing w:after="240" w:line="240" w:lineRule="auto"/>
        <w:ind w:left="714" w:hanging="357"/>
        <w:jc w:val="both"/>
        <w:rPr>
          <w:rFonts w:ascii="Arial" w:eastAsia="Encode Sans ExpandedLight" w:hAnsi="Arial" w:cs="Arial"/>
          <w:color w:val="000000"/>
        </w:rPr>
      </w:pPr>
      <w:r w:rsidRPr="00781D08">
        <w:rPr>
          <w:rFonts w:ascii="Arial" w:hAnsi="Arial"/>
        </w:rPr>
        <w:t xml:space="preserve">Le attività commerciali per tutti i </w:t>
      </w:r>
      <w:r w:rsidR="00BC2EA1" w:rsidRPr="00781D08">
        <w:rPr>
          <w:rFonts w:ascii="Arial" w:hAnsi="Arial"/>
        </w:rPr>
        <w:t>brand</w:t>
      </w:r>
      <w:r w:rsidRPr="00781D08">
        <w:rPr>
          <w:rFonts w:ascii="Arial" w:hAnsi="Arial"/>
        </w:rPr>
        <w:t xml:space="preserve"> Stellantis in Turchia saranno consolidate </w:t>
      </w:r>
      <w:r w:rsidRPr="0052246E">
        <w:rPr>
          <w:rFonts w:ascii="Arial" w:hAnsi="Arial"/>
        </w:rPr>
        <w:t>sotto</w:t>
      </w:r>
      <w:r w:rsidRPr="003C1E6C">
        <w:rPr>
          <w:rFonts w:ascii="Arial" w:hAnsi="Arial"/>
          <w:highlight w:val="yellow"/>
        </w:rPr>
        <w:t xml:space="preserve"> </w:t>
      </w:r>
      <w:r w:rsidR="00267C87" w:rsidRPr="00781D08">
        <w:rPr>
          <w:rFonts w:ascii="Arial" w:hAnsi="Arial"/>
        </w:rPr>
        <w:t>Tofaş</w:t>
      </w:r>
      <w:r w:rsidRPr="00781D08">
        <w:rPr>
          <w:rFonts w:ascii="Arial" w:hAnsi="Arial"/>
        </w:rPr>
        <w:t xml:space="preserve">, consentendo lo sviluppo di nuove sinergie commerciali e favorendo la creazione di valore per tutti i marchi Stellantis in tutti i segmenti </w:t>
      </w:r>
    </w:p>
    <w:p w14:paraId="37D5D4F1" w14:textId="054D3B1E" w:rsidR="001961D8" w:rsidRPr="00781D08" w:rsidRDefault="001961D8" w:rsidP="001961D8">
      <w:pPr>
        <w:numPr>
          <w:ilvl w:val="0"/>
          <w:numId w:val="1"/>
        </w:numPr>
        <w:spacing w:after="240" w:line="240" w:lineRule="auto"/>
        <w:ind w:left="714" w:hanging="357"/>
        <w:jc w:val="both"/>
        <w:rPr>
          <w:rFonts w:ascii="Arial" w:hAnsi="Arial" w:cs="Arial"/>
        </w:rPr>
      </w:pPr>
      <w:r w:rsidRPr="00781D08">
        <w:rPr>
          <w:rFonts w:ascii="Arial" w:hAnsi="Arial"/>
        </w:rPr>
        <w:t xml:space="preserve">Stellantis assegnerà a </w:t>
      </w:r>
      <w:r w:rsidR="00267C87" w:rsidRPr="00781D08">
        <w:rPr>
          <w:rFonts w:ascii="Arial" w:hAnsi="Arial"/>
        </w:rPr>
        <w:t>Tofaş</w:t>
      </w:r>
      <w:r w:rsidRPr="00781D08">
        <w:rPr>
          <w:rFonts w:ascii="Arial" w:hAnsi="Arial"/>
        </w:rPr>
        <w:t xml:space="preserve"> la produzione </w:t>
      </w:r>
      <w:r w:rsidR="00D65F79" w:rsidRPr="00781D08">
        <w:rPr>
          <w:rFonts w:ascii="Arial" w:hAnsi="Arial"/>
        </w:rPr>
        <w:t>del nuovo modello K0</w:t>
      </w:r>
      <w:r w:rsidR="00D65F79">
        <w:rPr>
          <w:rFonts w:ascii="Arial" w:hAnsi="Arial"/>
        </w:rPr>
        <w:t>, sia n</w:t>
      </w:r>
      <w:r w:rsidRPr="00781D08">
        <w:rPr>
          <w:rFonts w:ascii="Arial" w:hAnsi="Arial"/>
        </w:rPr>
        <w:t>ell</w:t>
      </w:r>
      <w:r w:rsidR="00D65F79">
        <w:rPr>
          <w:rFonts w:ascii="Arial" w:hAnsi="Arial"/>
        </w:rPr>
        <w:t>a</w:t>
      </w:r>
      <w:r w:rsidRPr="00781D08">
        <w:rPr>
          <w:rFonts w:ascii="Arial" w:hAnsi="Arial"/>
        </w:rPr>
        <w:t xml:space="preserve"> version</w:t>
      </w:r>
      <w:r w:rsidR="00D65F79">
        <w:rPr>
          <w:rFonts w:ascii="Arial" w:hAnsi="Arial"/>
        </w:rPr>
        <w:t>e</w:t>
      </w:r>
      <w:r w:rsidRPr="00781D08">
        <w:rPr>
          <w:rFonts w:ascii="Arial" w:hAnsi="Arial"/>
        </w:rPr>
        <w:t xml:space="preserve"> veicolo commerciale leggero di medie dimensioni </w:t>
      </w:r>
      <w:r w:rsidR="00D65F79">
        <w:rPr>
          <w:rFonts w:ascii="Arial" w:hAnsi="Arial"/>
        </w:rPr>
        <w:t>ch</w:t>
      </w:r>
      <w:r w:rsidRPr="00781D08">
        <w:rPr>
          <w:rFonts w:ascii="Arial" w:hAnsi="Arial"/>
        </w:rPr>
        <w:t xml:space="preserve">e </w:t>
      </w:r>
      <w:r w:rsidR="0052246E">
        <w:rPr>
          <w:rFonts w:ascii="Arial" w:hAnsi="Arial"/>
        </w:rPr>
        <w:t>autoveicolo</w:t>
      </w:r>
      <w:r w:rsidRPr="00781D08">
        <w:rPr>
          <w:rFonts w:ascii="Arial" w:hAnsi="Arial"/>
        </w:rPr>
        <w:t xml:space="preserve">, progettato per cinque marchi, che dovrebbe prendere il via </w:t>
      </w:r>
      <w:r w:rsidR="00267C87" w:rsidRPr="00781D08">
        <w:rPr>
          <w:rFonts w:ascii="Arial" w:hAnsi="Arial"/>
        </w:rPr>
        <w:t>all’inizio</w:t>
      </w:r>
      <w:r w:rsidRPr="00781D08">
        <w:rPr>
          <w:rFonts w:ascii="Arial" w:hAnsi="Arial"/>
        </w:rPr>
        <w:t xml:space="preserve"> del 202</w:t>
      </w:r>
      <w:r w:rsidR="00267C87" w:rsidRPr="00781D08">
        <w:rPr>
          <w:rFonts w:ascii="Arial" w:hAnsi="Arial"/>
        </w:rPr>
        <w:t>5</w:t>
      </w:r>
    </w:p>
    <w:p w14:paraId="2156FF4A" w14:textId="3F42129E" w:rsidR="001961D8" w:rsidRPr="00781D08" w:rsidRDefault="00BC2EA1" w:rsidP="001961D8">
      <w:pPr>
        <w:numPr>
          <w:ilvl w:val="0"/>
          <w:numId w:val="1"/>
        </w:numPr>
        <w:spacing w:after="240" w:line="240" w:lineRule="auto"/>
        <w:ind w:left="714" w:hanging="357"/>
        <w:jc w:val="both"/>
        <w:rPr>
          <w:rFonts w:ascii="Arial" w:eastAsia="Encode Sans ExpandedLight" w:hAnsi="Arial" w:cs="Arial"/>
        </w:rPr>
      </w:pPr>
      <w:r w:rsidRPr="00781D08">
        <w:rPr>
          <w:rFonts w:ascii="Arial" w:hAnsi="Arial"/>
        </w:rPr>
        <w:t>L</w:t>
      </w:r>
      <w:r w:rsidR="00A4706D" w:rsidRPr="00781D08">
        <w:rPr>
          <w:rFonts w:ascii="Arial" w:hAnsi="Arial"/>
        </w:rPr>
        <w:t xml:space="preserve">’attuale </w:t>
      </w:r>
      <w:r w:rsidRPr="00781D08">
        <w:rPr>
          <w:rFonts w:ascii="Arial" w:hAnsi="Arial"/>
        </w:rPr>
        <w:t>produzione del</w:t>
      </w:r>
      <w:r w:rsidR="001961D8" w:rsidRPr="00781D08">
        <w:rPr>
          <w:rFonts w:ascii="Arial" w:hAnsi="Arial"/>
        </w:rPr>
        <w:t xml:space="preserve"> Fiat Doblò</w:t>
      </w:r>
      <w:r w:rsidRPr="00781D08">
        <w:rPr>
          <w:rFonts w:ascii="Arial" w:hAnsi="Arial"/>
        </w:rPr>
        <w:t xml:space="preserve"> continuerà fino all’inizio </w:t>
      </w:r>
      <w:r w:rsidR="00333C17">
        <w:rPr>
          <w:rFonts w:ascii="Arial" w:hAnsi="Arial"/>
        </w:rPr>
        <w:t xml:space="preserve">dei lavori sulla linea </w:t>
      </w:r>
      <w:r w:rsidRPr="00781D08">
        <w:rPr>
          <w:rFonts w:ascii="Arial" w:hAnsi="Arial"/>
        </w:rPr>
        <w:t xml:space="preserve">del </w:t>
      </w:r>
      <w:r w:rsidR="00333C17">
        <w:rPr>
          <w:rFonts w:ascii="Arial" w:hAnsi="Arial"/>
        </w:rPr>
        <w:t xml:space="preserve">modello </w:t>
      </w:r>
      <w:r w:rsidRPr="00781D08">
        <w:rPr>
          <w:rFonts w:ascii="Arial" w:hAnsi="Arial"/>
        </w:rPr>
        <w:t>K0 previst</w:t>
      </w:r>
      <w:r w:rsidR="0077737C">
        <w:rPr>
          <w:rFonts w:ascii="Arial" w:hAnsi="Arial"/>
        </w:rPr>
        <w:t>i</w:t>
      </w:r>
      <w:r w:rsidRPr="00781D08">
        <w:rPr>
          <w:rFonts w:ascii="Arial" w:hAnsi="Arial"/>
        </w:rPr>
        <w:t xml:space="preserve"> per luglio</w:t>
      </w:r>
      <w:r w:rsidR="001961D8" w:rsidRPr="00781D08">
        <w:rPr>
          <w:rFonts w:ascii="Arial" w:hAnsi="Arial"/>
        </w:rPr>
        <w:t xml:space="preserve"> 2023</w:t>
      </w:r>
    </w:p>
    <w:p w14:paraId="651F8C26" w14:textId="29308A20" w:rsidR="00BC2EA1" w:rsidRPr="00781D08" w:rsidRDefault="00BC2EA1" w:rsidP="00BC2EA1">
      <w:pPr>
        <w:numPr>
          <w:ilvl w:val="0"/>
          <w:numId w:val="1"/>
        </w:numPr>
        <w:spacing w:after="240" w:line="240" w:lineRule="auto"/>
        <w:ind w:left="714" w:hanging="357"/>
        <w:jc w:val="both"/>
        <w:rPr>
          <w:rFonts w:ascii="Arial" w:eastAsia="Encode Sans ExpandedLight" w:hAnsi="Arial" w:cs="Arial"/>
        </w:rPr>
      </w:pPr>
      <w:r w:rsidRPr="00781D08">
        <w:rPr>
          <w:rFonts w:ascii="Arial" w:hAnsi="Arial"/>
        </w:rPr>
        <w:t>I</w:t>
      </w:r>
      <w:r w:rsidR="00C05137">
        <w:rPr>
          <w:rFonts w:ascii="Arial" w:hAnsi="Arial"/>
        </w:rPr>
        <w:t>l</w:t>
      </w:r>
      <w:r w:rsidRPr="00781D08">
        <w:rPr>
          <w:rFonts w:ascii="Arial" w:hAnsi="Arial"/>
        </w:rPr>
        <w:t xml:space="preserve"> progett</w:t>
      </w:r>
      <w:r w:rsidR="00C05137">
        <w:rPr>
          <w:rFonts w:ascii="Arial" w:hAnsi="Arial"/>
        </w:rPr>
        <w:t>o</w:t>
      </w:r>
      <w:r w:rsidRPr="00781D08">
        <w:rPr>
          <w:rFonts w:ascii="Arial" w:hAnsi="Arial"/>
        </w:rPr>
        <w:t xml:space="preserve"> Fiat Egea/Tipo </w:t>
      </w:r>
      <w:r w:rsidR="00C05137">
        <w:rPr>
          <w:rFonts w:ascii="Arial" w:hAnsi="Arial"/>
        </w:rPr>
        <w:t>continuerà</w:t>
      </w:r>
      <w:r w:rsidRPr="00781D08">
        <w:rPr>
          <w:rFonts w:ascii="Arial" w:hAnsi="Arial"/>
        </w:rPr>
        <w:t xml:space="preserve"> fino alla fine del 2025</w:t>
      </w:r>
    </w:p>
    <w:p w14:paraId="218C7647" w14:textId="77777777" w:rsidR="001961D8" w:rsidRPr="00781D08" w:rsidRDefault="001961D8" w:rsidP="001961D8">
      <w:pPr>
        <w:numPr>
          <w:ilvl w:val="0"/>
          <w:numId w:val="1"/>
        </w:numPr>
        <w:spacing w:after="240" w:line="240" w:lineRule="auto"/>
        <w:ind w:left="714" w:hanging="357"/>
        <w:jc w:val="both"/>
        <w:rPr>
          <w:rFonts w:ascii="Arial" w:eastAsia="Encode Sans ExpandedLight" w:hAnsi="Arial" w:cs="Arial"/>
          <w:color w:val="000000"/>
        </w:rPr>
      </w:pPr>
      <w:r w:rsidRPr="00781D08">
        <w:rPr>
          <w:rFonts w:ascii="Arial" w:hAnsi="Arial"/>
          <w:color w:val="000000"/>
        </w:rPr>
        <w:t>La collaborazione strategica favorirà una maggiore efficienza nel proporre sul mercato prodotti orientati al cliente e ai vertici del settore</w:t>
      </w:r>
    </w:p>
    <w:bookmarkEnd w:id="0"/>
    <w:p w14:paraId="24A244B5" w14:textId="4B0D3A6D" w:rsidR="001961D8" w:rsidRPr="001961D8" w:rsidRDefault="00292655" w:rsidP="001961D8">
      <w:pPr>
        <w:spacing w:after="240" w:line="240" w:lineRule="auto"/>
        <w:jc w:val="both"/>
        <w:rPr>
          <w:rFonts w:ascii="Arial" w:hAnsi="Arial" w:cs="Arial"/>
        </w:rPr>
      </w:pPr>
      <w:r w:rsidRPr="00292655">
        <w:rPr>
          <w:rFonts w:ascii="Arial" w:hAnsi="Arial"/>
        </w:rPr>
        <w:t>ISTANBUL</w:t>
      </w:r>
      <w:r w:rsidR="001961D8">
        <w:rPr>
          <w:rFonts w:ascii="Arial" w:hAnsi="Arial"/>
        </w:rPr>
        <w:t>, 1</w:t>
      </w:r>
      <w:r w:rsidR="0052246E">
        <w:rPr>
          <w:rFonts w:ascii="Arial" w:hAnsi="Arial"/>
        </w:rPr>
        <w:t xml:space="preserve"> </w:t>
      </w:r>
      <w:r w:rsidR="001961D8">
        <w:rPr>
          <w:rFonts w:ascii="Arial" w:hAnsi="Arial"/>
        </w:rPr>
        <w:t>marzo 2023 – Koç Holding e Stellantis N.V.</w:t>
      </w:r>
      <w:r w:rsidR="008B0104">
        <w:rPr>
          <w:rFonts w:ascii="Arial" w:hAnsi="Arial"/>
        </w:rPr>
        <w:t>, fiduciose per le prospettive di espansione,</w:t>
      </w:r>
      <w:r w:rsidR="001961D8">
        <w:rPr>
          <w:rFonts w:ascii="Arial" w:hAnsi="Arial"/>
        </w:rPr>
        <w:t xml:space="preserve"> hanno annunciato</w:t>
      </w:r>
      <w:r w:rsidR="000531EB">
        <w:rPr>
          <w:rFonts w:ascii="Arial" w:hAnsi="Arial"/>
        </w:rPr>
        <w:t xml:space="preserve"> </w:t>
      </w:r>
      <w:r w:rsidR="001961D8" w:rsidRPr="008B0104">
        <w:rPr>
          <w:rFonts w:ascii="Arial" w:hAnsi="Arial"/>
        </w:rPr>
        <w:t>oggi di aver stipulato un accordo per il rafforzamento della</w:t>
      </w:r>
      <w:r w:rsidR="001961D8">
        <w:rPr>
          <w:rFonts w:ascii="Arial" w:hAnsi="Arial"/>
        </w:rPr>
        <w:t xml:space="preserve"> joint venture </w:t>
      </w:r>
      <w:r w:rsidR="003B4815">
        <w:rPr>
          <w:rFonts w:ascii="Arial" w:hAnsi="Arial"/>
        </w:rPr>
        <w:t>Tofaş</w:t>
      </w:r>
      <w:r w:rsidR="001961D8">
        <w:rPr>
          <w:rFonts w:ascii="Arial" w:hAnsi="Arial"/>
        </w:rPr>
        <w:t xml:space="preserve"> e il consolidamento del potenziale delle sue attività in Turchia attraverso l’</w:t>
      </w:r>
      <w:r w:rsidR="00267C87">
        <w:rPr>
          <w:rFonts w:ascii="Arial" w:hAnsi="Arial"/>
        </w:rPr>
        <w:t xml:space="preserve">efficiente </w:t>
      </w:r>
      <w:r w:rsidR="001961D8">
        <w:rPr>
          <w:rFonts w:ascii="Arial" w:hAnsi="Arial"/>
        </w:rPr>
        <w:t>offerta di prodotti e servizi best-in-class a clienti e partner.</w:t>
      </w:r>
    </w:p>
    <w:p w14:paraId="00328F1A" w14:textId="11564567" w:rsidR="001961D8" w:rsidRPr="001961D8" w:rsidRDefault="001961D8" w:rsidP="001961D8">
      <w:pPr>
        <w:spacing w:after="240" w:line="240" w:lineRule="auto"/>
        <w:jc w:val="both"/>
        <w:rPr>
          <w:rFonts w:ascii="Arial" w:hAnsi="Arial" w:cs="Arial"/>
        </w:rPr>
      </w:pPr>
      <w:r>
        <w:rPr>
          <w:rFonts w:ascii="Arial" w:hAnsi="Arial"/>
        </w:rPr>
        <w:t xml:space="preserve">Nell’ambito di </w:t>
      </w:r>
      <w:r w:rsidR="00267C87">
        <w:rPr>
          <w:rFonts w:ascii="Arial" w:hAnsi="Arial"/>
        </w:rPr>
        <w:t>questo</w:t>
      </w:r>
      <w:r>
        <w:rPr>
          <w:rFonts w:ascii="Arial" w:hAnsi="Arial"/>
        </w:rPr>
        <w:t xml:space="preserve"> </w:t>
      </w:r>
      <w:r w:rsidR="00505C63">
        <w:rPr>
          <w:rFonts w:ascii="Arial" w:hAnsi="Arial"/>
        </w:rPr>
        <w:t xml:space="preserve">nuovo </w:t>
      </w:r>
      <w:r>
        <w:rPr>
          <w:rFonts w:ascii="Arial" w:hAnsi="Arial"/>
        </w:rPr>
        <w:t xml:space="preserve">accordo </w:t>
      </w:r>
      <w:r w:rsidR="003B4815">
        <w:rPr>
          <w:rFonts w:ascii="Arial" w:hAnsi="Arial"/>
        </w:rPr>
        <w:t>Tofaş</w:t>
      </w:r>
      <w:r>
        <w:rPr>
          <w:rFonts w:ascii="Arial" w:hAnsi="Arial"/>
        </w:rPr>
        <w:t xml:space="preserve"> acquisirà l’intera quota di capitale </w:t>
      </w:r>
      <w:r w:rsidR="00505C63">
        <w:rPr>
          <w:rFonts w:ascii="Arial" w:hAnsi="Arial"/>
        </w:rPr>
        <w:t xml:space="preserve">sociale </w:t>
      </w:r>
      <w:r>
        <w:rPr>
          <w:rFonts w:ascii="Arial" w:hAnsi="Arial"/>
        </w:rPr>
        <w:t>di Stellantis Otomotiv Pazarlama A.S., l’</w:t>
      </w:r>
      <w:r w:rsidR="00505C63">
        <w:rPr>
          <w:rFonts w:ascii="Arial" w:hAnsi="Arial"/>
        </w:rPr>
        <w:t>A</w:t>
      </w:r>
      <w:r>
        <w:rPr>
          <w:rFonts w:ascii="Arial" w:hAnsi="Arial"/>
        </w:rPr>
        <w:t xml:space="preserve">zienda di Stellantis Türkiye che si occupa di distribuzione. Di conseguenza tutti i marchi Stellantis disponibili </w:t>
      </w:r>
      <w:r w:rsidR="00E23DA6">
        <w:rPr>
          <w:rFonts w:ascii="Arial" w:hAnsi="Arial"/>
        </w:rPr>
        <w:t>nel Paese</w:t>
      </w:r>
      <w:r>
        <w:rPr>
          <w:rFonts w:ascii="Arial" w:hAnsi="Arial"/>
        </w:rPr>
        <w:t xml:space="preserve"> - Alfa Romeo, Fiat, Citroën, DS</w:t>
      </w:r>
      <w:r w:rsidR="008B0104">
        <w:rPr>
          <w:rFonts w:ascii="Arial" w:hAnsi="Arial"/>
        </w:rPr>
        <w:t xml:space="preserve"> Automobiles</w:t>
      </w:r>
      <w:r>
        <w:rPr>
          <w:rFonts w:ascii="Arial" w:hAnsi="Arial"/>
        </w:rPr>
        <w:t>, Jeep</w:t>
      </w:r>
      <w:r w:rsidRPr="00E23DA6">
        <w:rPr>
          <w:rFonts w:ascii="Arial" w:hAnsi="Arial"/>
          <w:vertAlign w:val="superscript"/>
        </w:rPr>
        <w:t>®</w:t>
      </w:r>
      <w:r>
        <w:rPr>
          <w:rFonts w:ascii="Arial" w:hAnsi="Arial"/>
        </w:rPr>
        <w:t xml:space="preserve">, Maserati, Opel e Peugeot - saranno distribuiti da </w:t>
      </w:r>
      <w:r w:rsidR="003B4815">
        <w:rPr>
          <w:rFonts w:ascii="Arial" w:hAnsi="Arial"/>
        </w:rPr>
        <w:t>Tofaş</w:t>
      </w:r>
      <w:r>
        <w:rPr>
          <w:rFonts w:ascii="Arial" w:hAnsi="Arial"/>
        </w:rPr>
        <w:t xml:space="preserve">. </w:t>
      </w:r>
    </w:p>
    <w:p w14:paraId="2EA88687" w14:textId="31620AF6" w:rsidR="001961D8" w:rsidRDefault="001961D8" w:rsidP="001961D8">
      <w:pPr>
        <w:spacing w:after="240" w:line="240" w:lineRule="auto"/>
        <w:jc w:val="both"/>
        <w:rPr>
          <w:rFonts w:ascii="Arial" w:hAnsi="Arial"/>
        </w:rPr>
      </w:pPr>
      <w:r>
        <w:rPr>
          <w:rFonts w:ascii="Arial" w:hAnsi="Arial"/>
        </w:rPr>
        <w:t xml:space="preserve">La creazione di un’unica entità in Turchia, supportata da due azionisti forti, favorirà lo sviluppo di sinergie senza precedenti nell’ambito delle attività commerciali, nel settore della produzione e </w:t>
      </w:r>
      <w:r w:rsidR="00C35D7A">
        <w:rPr>
          <w:rFonts w:ascii="Arial" w:hAnsi="Arial"/>
        </w:rPr>
        <w:t>n</w:t>
      </w:r>
      <w:r>
        <w:rPr>
          <w:rFonts w:ascii="Arial" w:hAnsi="Arial"/>
        </w:rPr>
        <w:t xml:space="preserve">ella ricerca e sviluppo e in generale consentirà di presentare ai consumatori turchi un’offerta più ampia ed efficiente di prodotti e servizi. Nuove opportunità </w:t>
      </w:r>
      <w:r w:rsidR="0009176A">
        <w:rPr>
          <w:rFonts w:ascii="Arial" w:hAnsi="Arial"/>
        </w:rPr>
        <w:t>commerciali</w:t>
      </w:r>
      <w:r>
        <w:rPr>
          <w:rFonts w:ascii="Arial" w:hAnsi="Arial"/>
        </w:rPr>
        <w:t xml:space="preserve"> </w:t>
      </w:r>
      <w:r w:rsidR="0009176A">
        <w:rPr>
          <w:rFonts w:ascii="Arial" w:hAnsi="Arial"/>
        </w:rPr>
        <w:t>consolid</w:t>
      </w:r>
      <w:r w:rsidR="000C07C9">
        <w:rPr>
          <w:rFonts w:ascii="Arial" w:hAnsi="Arial"/>
        </w:rPr>
        <w:t>e</w:t>
      </w:r>
      <w:r w:rsidR="0009176A">
        <w:rPr>
          <w:rFonts w:ascii="Arial" w:hAnsi="Arial"/>
        </w:rPr>
        <w:t>r</w:t>
      </w:r>
      <w:r w:rsidR="00C35D7A">
        <w:rPr>
          <w:rFonts w:ascii="Arial" w:hAnsi="Arial"/>
        </w:rPr>
        <w:t>anno</w:t>
      </w:r>
      <w:r w:rsidR="0009176A">
        <w:rPr>
          <w:rFonts w:ascii="Arial" w:hAnsi="Arial"/>
        </w:rPr>
        <w:t xml:space="preserve"> </w:t>
      </w:r>
      <w:r>
        <w:rPr>
          <w:rFonts w:ascii="Arial" w:hAnsi="Arial"/>
        </w:rPr>
        <w:t>ulterior</w:t>
      </w:r>
      <w:r w:rsidR="0009176A">
        <w:rPr>
          <w:rFonts w:ascii="Arial" w:hAnsi="Arial"/>
        </w:rPr>
        <w:t>mente</w:t>
      </w:r>
      <w:r>
        <w:rPr>
          <w:rFonts w:ascii="Arial" w:hAnsi="Arial"/>
        </w:rPr>
        <w:t xml:space="preserve"> </w:t>
      </w:r>
      <w:r w:rsidR="0009176A">
        <w:rPr>
          <w:rFonts w:ascii="Arial" w:hAnsi="Arial"/>
        </w:rPr>
        <w:t>i</w:t>
      </w:r>
      <w:r>
        <w:rPr>
          <w:rFonts w:ascii="Arial" w:hAnsi="Arial"/>
        </w:rPr>
        <w:t xml:space="preserve">l potenziale di </w:t>
      </w:r>
      <w:r w:rsidR="003B4815">
        <w:rPr>
          <w:rFonts w:ascii="Arial" w:hAnsi="Arial"/>
        </w:rPr>
        <w:t>Tofaş</w:t>
      </w:r>
      <w:r>
        <w:rPr>
          <w:rFonts w:ascii="Arial" w:hAnsi="Arial"/>
        </w:rPr>
        <w:t>.</w:t>
      </w:r>
    </w:p>
    <w:p w14:paraId="6474F800" w14:textId="77777777" w:rsidR="00441955" w:rsidRDefault="00D32E93" w:rsidP="001961D8">
      <w:pPr>
        <w:spacing w:after="240" w:line="240" w:lineRule="auto"/>
        <w:jc w:val="both"/>
        <w:rPr>
          <w:rFonts w:ascii="Arial" w:hAnsi="Arial" w:cs="Arial"/>
        </w:rPr>
      </w:pPr>
      <w:r w:rsidRPr="00D32E93">
        <w:rPr>
          <w:rFonts w:ascii="Arial" w:hAnsi="Arial" w:cs="Arial"/>
        </w:rPr>
        <w:t>L'</w:t>
      </w:r>
      <w:r>
        <w:rPr>
          <w:rFonts w:ascii="Arial" w:hAnsi="Arial" w:cs="Arial"/>
        </w:rPr>
        <w:t>A</w:t>
      </w:r>
      <w:r w:rsidRPr="00D32E93">
        <w:rPr>
          <w:rFonts w:ascii="Arial" w:hAnsi="Arial" w:cs="Arial"/>
        </w:rPr>
        <w:t xml:space="preserve">mministratore </w:t>
      </w:r>
      <w:r>
        <w:rPr>
          <w:rFonts w:ascii="Arial" w:hAnsi="Arial" w:cs="Arial"/>
        </w:rPr>
        <w:t>D</w:t>
      </w:r>
      <w:r w:rsidRPr="00D32E93">
        <w:rPr>
          <w:rFonts w:ascii="Arial" w:hAnsi="Arial" w:cs="Arial"/>
        </w:rPr>
        <w:t xml:space="preserve">elegato di Koç Holding, Levent Çakıroğlu, ha dichiarato: "Intendiamo continuare a fare la nostra parte per rimarginare le ferite </w:t>
      </w:r>
      <w:r>
        <w:rPr>
          <w:rFonts w:ascii="Arial" w:hAnsi="Arial" w:cs="Arial"/>
        </w:rPr>
        <w:t xml:space="preserve">causate </w:t>
      </w:r>
      <w:r w:rsidRPr="00D32E93">
        <w:rPr>
          <w:rFonts w:ascii="Arial" w:hAnsi="Arial" w:cs="Arial"/>
        </w:rPr>
        <w:t>d</w:t>
      </w:r>
      <w:r>
        <w:rPr>
          <w:rFonts w:ascii="Arial" w:hAnsi="Arial" w:cs="Arial"/>
        </w:rPr>
        <w:t>a</w:t>
      </w:r>
      <w:r w:rsidRPr="00D32E93">
        <w:rPr>
          <w:rFonts w:ascii="Arial" w:hAnsi="Arial" w:cs="Arial"/>
        </w:rPr>
        <w:t xml:space="preserve">l terremoto </w:t>
      </w:r>
      <w:r>
        <w:rPr>
          <w:rFonts w:ascii="Arial" w:hAnsi="Arial" w:cs="Arial"/>
        </w:rPr>
        <w:t>che ha colpito la Turchia il</w:t>
      </w:r>
      <w:r w:rsidRPr="00D32E93">
        <w:rPr>
          <w:rFonts w:ascii="Arial" w:hAnsi="Arial" w:cs="Arial"/>
        </w:rPr>
        <w:t xml:space="preserve"> 6 febbraio</w:t>
      </w:r>
      <w:r w:rsidR="00441955">
        <w:rPr>
          <w:rFonts w:ascii="Arial" w:hAnsi="Arial" w:cs="Arial"/>
        </w:rPr>
        <w:t xml:space="preserve"> scorso</w:t>
      </w:r>
      <w:r w:rsidRPr="00D32E93">
        <w:rPr>
          <w:rFonts w:ascii="Arial" w:hAnsi="Arial" w:cs="Arial"/>
        </w:rPr>
        <w:t xml:space="preserve">, </w:t>
      </w:r>
      <w:r>
        <w:rPr>
          <w:rFonts w:ascii="Arial" w:hAnsi="Arial" w:cs="Arial"/>
        </w:rPr>
        <w:t>cercando</w:t>
      </w:r>
      <w:r w:rsidRPr="00D32E93">
        <w:rPr>
          <w:rFonts w:ascii="Arial" w:hAnsi="Arial" w:cs="Arial"/>
        </w:rPr>
        <w:t xml:space="preserve"> di riprenderci dal dolore causato dall'evento. Come Gruppo Koç, manteniamo il nostro forte impegno a investire nel nostro Paese, convinti che il nuovo accordo contribuirà a superare questo periodo </w:t>
      </w:r>
      <w:r>
        <w:rPr>
          <w:rFonts w:ascii="Arial" w:hAnsi="Arial" w:cs="Arial"/>
        </w:rPr>
        <w:t>di difficoltà</w:t>
      </w:r>
      <w:r w:rsidRPr="00D32E93">
        <w:rPr>
          <w:rFonts w:ascii="Arial" w:hAnsi="Arial" w:cs="Arial"/>
        </w:rPr>
        <w:t>. Questo investimento strategico, unitamente al volume di produzione, alle esportazioni e alle capacità di ricerca e sviluppo di Tofaş, sta portando l'</w:t>
      </w:r>
      <w:r>
        <w:rPr>
          <w:rFonts w:ascii="Arial" w:hAnsi="Arial" w:cs="Arial"/>
        </w:rPr>
        <w:t>A</w:t>
      </w:r>
      <w:r w:rsidRPr="00D32E93">
        <w:rPr>
          <w:rFonts w:ascii="Arial" w:hAnsi="Arial" w:cs="Arial"/>
        </w:rPr>
        <w:t>zienda a</w:t>
      </w:r>
      <w:r>
        <w:rPr>
          <w:rFonts w:ascii="Arial" w:hAnsi="Arial" w:cs="Arial"/>
        </w:rPr>
        <w:t xml:space="preserve"> raggiungere </w:t>
      </w:r>
      <w:r w:rsidRPr="00D32E93">
        <w:rPr>
          <w:rFonts w:ascii="Arial" w:hAnsi="Arial" w:cs="Arial"/>
        </w:rPr>
        <w:t xml:space="preserve">nuovi </w:t>
      </w:r>
      <w:r>
        <w:rPr>
          <w:rFonts w:ascii="Arial" w:hAnsi="Arial" w:cs="Arial"/>
        </w:rPr>
        <w:t>traguardi</w:t>
      </w:r>
      <w:r w:rsidRPr="00D32E93">
        <w:rPr>
          <w:rFonts w:ascii="Arial" w:hAnsi="Arial" w:cs="Arial"/>
        </w:rPr>
        <w:t xml:space="preserve"> nell'industria automobilistica. In qualità di </w:t>
      </w:r>
      <w:r>
        <w:rPr>
          <w:rFonts w:ascii="Arial" w:hAnsi="Arial" w:cs="Arial"/>
        </w:rPr>
        <w:t>A</w:t>
      </w:r>
      <w:r w:rsidRPr="00D32E93">
        <w:rPr>
          <w:rFonts w:ascii="Arial" w:hAnsi="Arial" w:cs="Arial"/>
        </w:rPr>
        <w:t xml:space="preserve">zienda </w:t>
      </w:r>
      <w:r>
        <w:rPr>
          <w:rFonts w:ascii="Arial" w:hAnsi="Arial" w:cs="Arial"/>
        </w:rPr>
        <w:t>automotive</w:t>
      </w:r>
      <w:r w:rsidRPr="00D32E93">
        <w:rPr>
          <w:rFonts w:ascii="Arial" w:hAnsi="Arial" w:cs="Arial"/>
        </w:rPr>
        <w:t xml:space="preserve"> leader in Turchia, Tofaş amplierà ulteriormente i propri obiettivi e rafforzerà </w:t>
      </w:r>
    </w:p>
    <w:p w14:paraId="1B7525D7" w14:textId="77777777" w:rsidR="00441955" w:rsidRDefault="00441955" w:rsidP="001961D8">
      <w:pPr>
        <w:spacing w:after="240" w:line="240" w:lineRule="auto"/>
        <w:jc w:val="both"/>
        <w:rPr>
          <w:rFonts w:ascii="Arial" w:hAnsi="Arial" w:cs="Arial"/>
        </w:rPr>
      </w:pPr>
    </w:p>
    <w:p w14:paraId="7E5E90DC" w14:textId="2B79F6A2" w:rsidR="00D32E93" w:rsidRDefault="008713DF" w:rsidP="001961D8">
      <w:pPr>
        <w:spacing w:after="240" w:line="240" w:lineRule="auto"/>
        <w:jc w:val="both"/>
        <w:rPr>
          <w:rFonts w:ascii="Arial" w:hAnsi="Arial" w:cs="Arial"/>
        </w:rPr>
      </w:pPr>
      <w:r>
        <w:rPr>
          <w:rFonts w:ascii="Arial" w:hAnsi="Arial" w:cs="Arial"/>
        </w:rPr>
        <w:t>Il proprio valore</w:t>
      </w:r>
      <w:r w:rsidR="00D32E93" w:rsidRPr="00D32E93">
        <w:rPr>
          <w:rFonts w:ascii="Arial" w:hAnsi="Arial" w:cs="Arial"/>
        </w:rPr>
        <w:t xml:space="preserve"> con questo nuovo investimento. L'accordo è un'ulteriore conferma della fiducia del Gruppo Koç e dei nostri partner nel nostro Paese in questo momento difficile. Continueremo a fare del nostro meglio per aumentare la competitività della </w:t>
      </w:r>
      <w:r w:rsidR="00D32E93">
        <w:rPr>
          <w:rFonts w:ascii="Arial" w:hAnsi="Arial" w:cs="Arial"/>
        </w:rPr>
        <w:t>Turchia</w:t>
      </w:r>
      <w:r w:rsidR="00D32E93" w:rsidRPr="00D32E93">
        <w:rPr>
          <w:rFonts w:ascii="Arial" w:hAnsi="Arial" w:cs="Arial"/>
        </w:rPr>
        <w:t xml:space="preserve"> nell'industria automobilistica grazie al valore aggiunto che verrà generato". </w:t>
      </w:r>
    </w:p>
    <w:p w14:paraId="64FDAFC7" w14:textId="617C6027" w:rsidR="001961D8" w:rsidRPr="00A8297F" w:rsidRDefault="001961D8" w:rsidP="001961D8">
      <w:pPr>
        <w:spacing w:after="240" w:line="240" w:lineRule="auto"/>
        <w:jc w:val="both"/>
        <w:rPr>
          <w:rFonts w:ascii="Arial" w:hAnsi="Arial" w:cs="Arial"/>
        </w:rPr>
      </w:pPr>
      <w:r>
        <w:rPr>
          <w:rFonts w:ascii="Arial" w:hAnsi="Arial"/>
        </w:rPr>
        <w:t xml:space="preserve">“La Turchia </w:t>
      </w:r>
      <w:r w:rsidR="00D32E93">
        <w:rPr>
          <w:rFonts w:ascii="Arial" w:hAnsi="Arial"/>
        </w:rPr>
        <w:t>riveste</w:t>
      </w:r>
      <w:r>
        <w:rPr>
          <w:rFonts w:ascii="Arial" w:hAnsi="Arial"/>
        </w:rPr>
        <w:t xml:space="preserve"> un ruolo fondamentale nel nostro piano strategico </w:t>
      </w:r>
      <w:r w:rsidR="00D32E93">
        <w:rPr>
          <w:rFonts w:ascii="Arial" w:hAnsi="Arial"/>
        </w:rPr>
        <w:t>a</w:t>
      </w:r>
      <w:r>
        <w:rPr>
          <w:rFonts w:ascii="Arial" w:hAnsi="Arial"/>
        </w:rPr>
        <w:t xml:space="preserve"> lungo </w:t>
      </w:r>
      <w:r w:rsidR="00D32E93">
        <w:rPr>
          <w:rFonts w:ascii="Arial" w:hAnsi="Arial"/>
        </w:rPr>
        <w:t>termine</w:t>
      </w:r>
      <w:r>
        <w:rPr>
          <w:rFonts w:ascii="Arial" w:hAnsi="Arial"/>
        </w:rPr>
        <w:t xml:space="preserve"> Dare Forward 2030 per </w:t>
      </w:r>
      <w:r w:rsidR="00D32E93">
        <w:rPr>
          <w:rFonts w:ascii="Arial" w:hAnsi="Arial"/>
        </w:rPr>
        <w:t xml:space="preserve">diventare leader di mercato </w:t>
      </w:r>
      <w:r>
        <w:rPr>
          <w:rFonts w:ascii="Arial" w:hAnsi="Arial"/>
        </w:rPr>
        <w:t>in Medio Oriente e Africa</w:t>
      </w:r>
      <w:r w:rsidR="00D32E93">
        <w:rPr>
          <w:rFonts w:ascii="Arial" w:hAnsi="Arial"/>
        </w:rPr>
        <w:t>”</w:t>
      </w:r>
      <w:r w:rsidR="00B2768C">
        <w:rPr>
          <w:rFonts w:ascii="Arial" w:hAnsi="Arial"/>
        </w:rPr>
        <w:t xml:space="preserve">, </w:t>
      </w:r>
      <w:r>
        <w:rPr>
          <w:rFonts w:ascii="Arial" w:hAnsi="Arial"/>
        </w:rPr>
        <w:t>ha affermato</w:t>
      </w:r>
      <w:r w:rsidR="00B2768C">
        <w:rPr>
          <w:rFonts w:ascii="Arial" w:hAnsi="Arial"/>
        </w:rPr>
        <w:t xml:space="preserve"> Carlos Tavares,</w:t>
      </w:r>
      <w:r>
        <w:rPr>
          <w:rFonts w:ascii="Arial" w:hAnsi="Arial"/>
        </w:rPr>
        <w:t xml:space="preserve"> CEO di Stellantis. “Il consolidamento della partnership con Koç porterà nuove sinergie, un aumento del valore e la crescita del potenziale di mercato per i marchi del Gruppo Stellantis in tutti i segmenti.</w:t>
      </w:r>
      <w:r w:rsidR="00B2768C">
        <w:rPr>
          <w:rFonts w:ascii="Arial" w:hAnsi="Arial"/>
        </w:rPr>
        <w:t xml:space="preserve"> </w:t>
      </w:r>
      <w:r w:rsidR="00B2768C" w:rsidRPr="00B2768C">
        <w:rPr>
          <w:rFonts w:ascii="Arial" w:hAnsi="Arial"/>
        </w:rPr>
        <w:t>Essendo una delle principali imprese industriali turche, la nostra joint venture Tofaş rappresenta uno dei nostri più importanti centri di produzione e di ricerca e sviluppo.</w:t>
      </w:r>
      <w:r>
        <w:rPr>
          <w:rFonts w:ascii="Arial" w:hAnsi="Arial"/>
        </w:rPr>
        <w:t xml:space="preserve"> </w:t>
      </w:r>
      <w:r w:rsidR="00B2768C">
        <w:rPr>
          <w:rFonts w:ascii="Arial" w:hAnsi="Arial"/>
        </w:rPr>
        <w:t>Nell’attuale contesto che sta attraversando la Turchia, vorrei esprimere i miei più sentiti r</w:t>
      </w:r>
      <w:r>
        <w:rPr>
          <w:rFonts w:ascii="Arial" w:hAnsi="Arial"/>
        </w:rPr>
        <w:t>ingrazi</w:t>
      </w:r>
      <w:r w:rsidR="00B2768C">
        <w:rPr>
          <w:rFonts w:ascii="Arial" w:hAnsi="Arial"/>
        </w:rPr>
        <w:t>ament</w:t>
      </w:r>
      <w:r w:rsidR="006E5E4B">
        <w:rPr>
          <w:rFonts w:ascii="Arial" w:hAnsi="Arial"/>
        </w:rPr>
        <w:t>i</w:t>
      </w:r>
      <w:r>
        <w:rPr>
          <w:rFonts w:ascii="Arial" w:hAnsi="Arial"/>
        </w:rPr>
        <w:t xml:space="preserve"> </w:t>
      </w:r>
      <w:r w:rsidR="00B2768C">
        <w:rPr>
          <w:rFonts w:ascii="Arial" w:hAnsi="Arial"/>
        </w:rPr>
        <w:t>a</w:t>
      </w:r>
      <w:r>
        <w:rPr>
          <w:rFonts w:ascii="Arial" w:hAnsi="Arial"/>
        </w:rPr>
        <w:t>i team che hanno lavorato per giungere a questo accordo che</w:t>
      </w:r>
      <w:r w:rsidR="00B2768C">
        <w:rPr>
          <w:rFonts w:ascii="Arial" w:hAnsi="Arial"/>
        </w:rPr>
        <w:t xml:space="preserve"> rafforzerà </w:t>
      </w:r>
      <w:r w:rsidR="006E5E4B">
        <w:rPr>
          <w:rFonts w:ascii="Arial" w:hAnsi="Arial"/>
        </w:rPr>
        <w:t>la</w:t>
      </w:r>
      <w:r w:rsidR="00B2768C">
        <w:rPr>
          <w:rFonts w:ascii="Arial" w:hAnsi="Arial"/>
        </w:rPr>
        <w:t xml:space="preserve"> nostr</w:t>
      </w:r>
      <w:r w:rsidR="006E5E4B">
        <w:rPr>
          <w:rFonts w:ascii="Arial" w:hAnsi="Arial"/>
        </w:rPr>
        <w:t>a</w:t>
      </w:r>
      <w:r w:rsidR="00B2768C">
        <w:rPr>
          <w:rFonts w:ascii="Arial" w:hAnsi="Arial"/>
        </w:rPr>
        <w:t xml:space="preserve"> leadership</w:t>
      </w:r>
      <w:r>
        <w:rPr>
          <w:rFonts w:ascii="Arial" w:hAnsi="Arial"/>
        </w:rPr>
        <w:t xml:space="preserve">, forti di oltre 50 anni di presenza in Turchia, </w:t>
      </w:r>
      <w:r w:rsidR="006E5E4B">
        <w:rPr>
          <w:rFonts w:ascii="Arial" w:hAnsi="Arial"/>
        </w:rPr>
        <w:t xml:space="preserve">in </w:t>
      </w:r>
      <w:r w:rsidR="00B2768C" w:rsidRPr="00B2768C">
        <w:rPr>
          <w:rFonts w:ascii="Arial" w:hAnsi="Arial"/>
        </w:rPr>
        <w:t>un Paese che sta dimostrando al mondo la sua capacità di ricostruire un futuro sostenibile con speranza e resilienza."</w:t>
      </w:r>
    </w:p>
    <w:p w14:paraId="734D56CE" w14:textId="77777777" w:rsidR="001961D8" w:rsidRPr="001961D8" w:rsidRDefault="001961D8" w:rsidP="001961D8">
      <w:pPr>
        <w:spacing w:after="240" w:line="240" w:lineRule="auto"/>
        <w:jc w:val="both"/>
        <w:rPr>
          <w:rFonts w:ascii="Arial" w:hAnsi="Arial" w:cs="Arial"/>
        </w:rPr>
      </w:pPr>
      <w:r>
        <w:rPr>
          <w:rFonts w:ascii="Arial" w:hAnsi="Arial"/>
        </w:rPr>
        <w:t>In base all’accordo:</w:t>
      </w:r>
    </w:p>
    <w:p w14:paraId="79082427" w14:textId="4944455E" w:rsidR="001961D8" w:rsidRPr="001961D8" w:rsidRDefault="001961D8" w:rsidP="001961D8">
      <w:pPr>
        <w:numPr>
          <w:ilvl w:val="0"/>
          <w:numId w:val="2"/>
        </w:numPr>
        <w:spacing w:after="240" w:line="240" w:lineRule="auto"/>
        <w:jc w:val="both"/>
        <w:rPr>
          <w:rFonts w:ascii="Arial" w:hAnsi="Arial" w:cs="Arial"/>
        </w:rPr>
      </w:pPr>
      <w:r>
        <w:rPr>
          <w:rFonts w:ascii="Arial" w:hAnsi="Arial"/>
        </w:rPr>
        <w:t xml:space="preserve">Stellantis assegnerà a </w:t>
      </w:r>
      <w:r w:rsidR="003B4815">
        <w:rPr>
          <w:rFonts w:ascii="Arial" w:hAnsi="Arial"/>
        </w:rPr>
        <w:t>Tofaş</w:t>
      </w:r>
      <w:r>
        <w:rPr>
          <w:rFonts w:ascii="Arial" w:hAnsi="Arial"/>
        </w:rPr>
        <w:t xml:space="preserve"> la produzione </w:t>
      </w:r>
      <w:r w:rsidR="00B2768C">
        <w:rPr>
          <w:rFonts w:ascii="Arial" w:hAnsi="Arial"/>
        </w:rPr>
        <w:t>del modello K0 sia nella v</w:t>
      </w:r>
      <w:r>
        <w:rPr>
          <w:rFonts w:ascii="Arial" w:hAnsi="Arial"/>
        </w:rPr>
        <w:t>ersion</w:t>
      </w:r>
      <w:r w:rsidR="00B2768C">
        <w:rPr>
          <w:rFonts w:ascii="Arial" w:hAnsi="Arial"/>
        </w:rPr>
        <w:t>e</w:t>
      </w:r>
      <w:r>
        <w:rPr>
          <w:rFonts w:ascii="Arial" w:hAnsi="Arial"/>
        </w:rPr>
        <w:t xml:space="preserve"> veicolo commerciale leggero di medie dimensioni </w:t>
      </w:r>
      <w:r w:rsidR="00B2768C">
        <w:rPr>
          <w:rFonts w:ascii="Arial" w:hAnsi="Arial"/>
        </w:rPr>
        <w:t>ch</w:t>
      </w:r>
      <w:r>
        <w:rPr>
          <w:rFonts w:ascii="Arial" w:hAnsi="Arial"/>
        </w:rPr>
        <w:t xml:space="preserve">e </w:t>
      </w:r>
      <w:r w:rsidR="0052246E">
        <w:rPr>
          <w:rFonts w:ascii="Arial" w:hAnsi="Arial"/>
        </w:rPr>
        <w:t>autoveicolo</w:t>
      </w:r>
      <w:r>
        <w:rPr>
          <w:rFonts w:ascii="Arial" w:hAnsi="Arial"/>
        </w:rPr>
        <w:t>, progettato per cinque marchi, che dovrebbe prendere il</w:t>
      </w:r>
      <w:r w:rsidR="00B2768C">
        <w:rPr>
          <w:rFonts w:ascii="Arial" w:hAnsi="Arial"/>
        </w:rPr>
        <w:t xml:space="preserve"> via a partire dall’inizio</w:t>
      </w:r>
      <w:r>
        <w:rPr>
          <w:rFonts w:ascii="Arial" w:hAnsi="Arial"/>
        </w:rPr>
        <w:t xml:space="preserve"> del 202</w:t>
      </w:r>
      <w:r w:rsidR="00267C87">
        <w:rPr>
          <w:rFonts w:ascii="Arial" w:hAnsi="Arial"/>
        </w:rPr>
        <w:t>5</w:t>
      </w:r>
    </w:p>
    <w:p w14:paraId="1D28292A" w14:textId="139ADE97" w:rsidR="00A4706D" w:rsidRDefault="00A4706D" w:rsidP="00A4706D">
      <w:pPr>
        <w:numPr>
          <w:ilvl w:val="0"/>
          <w:numId w:val="1"/>
        </w:numPr>
        <w:spacing w:after="240" w:line="240" w:lineRule="auto"/>
        <w:ind w:left="714" w:hanging="357"/>
        <w:jc w:val="both"/>
        <w:rPr>
          <w:rFonts w:ascii="Arial" w:hAnsi="Arial"/>
        </w:rPr>
      </w:pPr>
      <w:r w:rsidRPr="00A4706D">
        <w:rPr>
          <w:rFonts w:ascii="Arial" w:hAnsi="Arial"/>
        </w:rPr>
        <w:t xml:space="preserve">L’attuale produzione del Fiat Doblò continuerà fino all’inizio </w:t>
      </w:r>
      <w:r w:rsidR="00B2768C">
        <w:rPr>
          <w:rFonts w:ascii="Arial" w:hAnsi="Arial"/>
        </w:rPr>
        <w:t xml:space="preserve">dei lavori sulle linee </w:t>
      </w:r>
      <w:r w:rsidRPr="00A4706D">
        <w:rPr>
          <w:rFonts w:ascii="Arial" w:hAnsi="Arial"/>
        </w:rPr>
        <w:t>del</w:t>
      </w:r>
      <w:r w:rsidR="00B2768C">
        <w:rPr>
          <w:rFonts w:ascii="Arial" w:hAnsi="Arial"/>
        </w:rPr>
        <w:t xml:space="preserve"> modello</w:t>
      </w:r>
      <w:r w:rsidRPr="00A4706D">
        <w:rPr>
          <w:rFonts w:ascii="Arial" w:hAnsi="Arial"/>
        </w:rPr>
        <w:t xml:space="preserve"> K0 previst</w:t>
      </w:r>
      <w:r w:rsidR="0077737C">
        <w:rPr>
          <w:rFonts w:ascii="Arial" w:hAnsi="Arial"/>
        </w:rPr>
        <w:t>i</w:t>
      </w:r>
      <w:r w:rsidRPr="00A4706D">
        <w:rPr>
          <w:rFonts w:ascii="Arial" w:hAnsi="Arial"/>
        </w:rPr>
        <w:t xml:space="preserve"> per luglio 2023</w:t>
      </w:r>
    </w:p>
    <w:p w14:paraId="7840B60A" w14:textId="30A541AE" w:rsidR="00A4706D" w:rsidRPr="00A4706D" w:rsidRDefault="00B2768C" w:rsidP="00A4706D">
      <w:pPr>
        <w:numPr>
          <w:ilvl w:val="0"/>
          <w:numId w:val="1"/>
        </w:numPr>
        <w:spacing w:after="240" w:line="240" w:lineRule="auto"/>
        <w:ind w:left="714" w:hanging="357"/>
        <w:jc w:val="both"/>
        <w:rPr>
          <w:rFonts w:ascii="Arial" w:hAnsi="Arial"/>
        </w:rPr>
      </w:pPr>
      <w:r>
        <w:rPr>
          <w:rFonts w:ascii="Arial" w:hAnsi="Arial"/>
        </w:rPr>
        <w:t>L’attuale</w:t>
      </w:r>
      <w:r w:rsidR="00A4706D" w:rsidRPr="00A4706D">
        <w:rPr>
          <w:rFonts w:ascii="Arial" w:hAnsi="Arial"/>
        </w:rPr>
        <w:t xml:space="preserve"> progett</w:t>
      </w:r>
      <w:r>
        <w:rPr>
          <w:rFonts w:ascii="Arial" w:hAnsi="Arial"/>
        </w:rPr>
        <w:t>o</w:t>
      </w:r>
      <w:r w:rsidR="00A4706D" w:rsidRPr="00A4706D">
        <w:rPr>
          <w:rFonts w:ascii="Arial" w:hAnsi="Arial"/>
        </w:rPr>
        <w:t xml:space="preserve"> Fiat Egea/Tipo </w:t>
      </w:r>
      <w:r w:rsidR="00C05137" w:rsidRPr="00A4706D">
        <w:rPr>
          <w:rFonts w:ascii="Arial" w:hAnsi="Arial"/>
        </w:rPr>
        <w:t>continuerà</w:t>
      </w:r>
      <w:r w:rsidR="00A4706D" w:rsidRPr="00A4706D">
        <w:rPr>
          <w:rFonts w:ascii="Arial" w:hAnsi="Arial"/>
        </w:rPr>
        <w:t xml:space="preserve"> fino alla fine del 2025</w:t>
      </w:r>
      <w:r>
        <w:rPr>
          <w:rFonts w:ascii="Arial" w:hAnsi="Arial"/>
        </w:rPr>
        <w:t>.</w:t>
      </w:r>
    </w:p>
    <w:p w14:paraId="2340C728" w14:textId="77777777" w:rsidR="001961D8" w:rsidRPr="001961D8" w:rsidRDefault="001961D8" w:rsidP="001961D8">
      <w:pPr>
        <w:spacing w:after="240" w:line="240" w:lineRule="auto"/>
        <w:jc w:val="both"/>
        <w:rPr>
          <w:rFonts w:ascii="Arial" w:hAnsi="Arial" w:cs="Arial"/>
        </w:rPr>
      </w:pPr>
      <w:r>
        <w:rPr>
          <w:rFonts w:ascii="Arial" w:hAnsi="Arial"/>
        </w:rPr>
        <w:t>La chiusura dell’operazione, che sarà soggetta alle necessarie approvazioni normative, ivi inclusa quella delle autorità competenti in tema di concorrenza, è attesa nella seconda metà del 2023.</w:t>
      </w:r>
    </w:p>
    <w:p w14:paraId="072513B7" w14:textId="77777777" w:rsidR="001961D8" w:rsidRPr="001961D8" w:rsidRDefault="001961D8" w:rsidP="001961D8">
      <w:pPr>
        <w:spacing w:after="240" w:line="240" w:lineRule="auto"/>
        <w:jc w:val="both"/>
        <w:rPr>
          <w:rFonts w:ascii="Arial" w:hAnsi="Arial" w:cs="Arial"/>
        </w:rPr>
      </w:pPr>
    </w:p>
    <w:p w14:paraId="34720037" w14:textId="77777777" w:rsidR="001961D8" w:rsidRPr="001961D8" w:rsidRDefault="001961D8" w:rsidP="001961D8">
      <w:pPr>
        <w:spacing w:after="240" w:line="240" w:lineRule="auto"/>
        <w:jc w:val="center"/>
        <w:rPr>
          <w:rFonts w:ascii="Arial" w:hAnsi="Arial" w:cs="Arial"/>
        </w:rPr>
      </w:pPr>
      <w:r>
        <w:rPr>
          <w:rFonts w:ascii="Arial" w:hAnsi="Arial"/>
        </w:rPr>
        <w:t>###</w:t>
      </w:r>
    </w:p>
    <w:p w14:paraId="147F0251" w14:textId="77777777" w:rsidR="001961D8" w:rsidRPr="001961D8" w:rsidRDefault="001961D8" w:rsidP="001961D8">
      <w:pPr>
        <w:spacing w:after="240" w:line="240" w:lineRule="auto"/>
        <w:rPr>
          <w:rFonts w:ascii="Arial" w:hAnsi="Arial" w:cs="Arial"/>
          <w:b/>
          <w:color w:val="4472C4" w:themeColor="accent1"/>
        </w:rPr>
      </w:pPr>
    </w:p>
    <w:p w14:paraId="6788AA13" w14:textId="77777777" w:rsidR="001961D8" w:rsidRPr="001961D8" w:rsidRDefault="001961D8" w:rsidP="001961D8">
      <w:pPr>
        <w:spacing w:after="240" w:line="240" w:lineRule="auto"/>
        <w:rPr>
          <w:rFonts w:ascii="Arial" w:hAnsi="Arial" w:cs="Arial"/>
          <w:b/>
          <w:sz w:val="18"/>
          <w:szCs w:val="18"/>
        </w:rPr>
      </w:pPr>
      <w:r>
        <w:rPr>
          <w:rFonts w:ascii="Arial" w:hAnsi="Arial"/>
          <w:b/>
          <w:sz w:val="18"/>
          <w:szCs w:val="18"/>
        </w:rPr>
        <w:t>Stellantis</w:t>
      </w:r>
    </w:p>
    <w:p w14:paraId="00F19424" w14:textId="1278361B" w:rsidR="001961D8" w:rsidRPr="001961D8" w:rsidRDefault="001961D8" w:rsidP="001961D8">
      <w:pPr>
        <w:spacing w:after="240" w:line="240" w:lineRule="auto"/>
        <w:jc w:val="both"/>
        <w:rPr>
          <w:rFonts w:ascii="Arial" w:eastAsia="Encode Sans" w:hAnsi="Arial" w:cs="Arial"/>
          <w:i/>
          <w:sz w:val="18"/>
          <w:szCs w:val="18"/>
          <w:highlight w:val="white"/>
        </w:rPr>
      </w:pPr>
      <w:r>
        <w:rPr>
          <w:rFonts w:ascii="Arial" w:hAnsi="Arial"/>
          <w:i/>
          <w:sz w:val="18"/>
          <w:szCs w:val="18"/>
        </w:rPr>
        <w:t>Stellantis N.V. (NYSE: STLA / Euronext Milan: STLAM / Euronext Pari</w:t>
      </w:r>
      <w:r w:rsidR="00DD2D82">
        <w:rPr>
          <w:rFonts w:ascii="Arial" w:hAnsi="Arial"/>
          <w:i/>
          <w:sz w:val="18"/>
          <w:szCs w:val="18"/>
        </w:rPr>
        <w:t>s</w:t>
      </w:r>
      <w:r>
        <w:rPr>
          <w:rFonts w:ascii="Arial" w:hAnsi="Arial"/>
          <w:i/>
          <w:sz w:val="18"/>
          <w:szCs w:val="18"/>
        </w:rPr>
        <w:t xml:space="preserve">: STLAP) </w:t>
      </w:r>
      <w:r>
        <w:rPr>
          <w:rFonts w:ascii="Arial" w:hAnsi="Arial"/>
          <w:i/>
          <w:sz w:val="18"/>
          <w:szCs w:val="18"/>
          <w:highlight w:val="white"/>
        </w:rPr>
        <w:t>è leader a livello mondiale nella produzione di veicoli e fornitore di mobilità</w:t>
      </w:r>
      <w:r>
        <w:rPr>
          <w:rFonts w:ascii="Arial" w:hAnsi="Arial"/>
          <w:i/>
          <w:sz w:val="18"/>
          <w:szCs w:val="18"/>
        </w:rPr>
        <w:t xml:space="preserve">. I suoi </w:t>
      </w:r>
      <w:r>
        <w:rPr>
          <w:rFonts w:ascii="Arial" w:hAnsi="Arial"/>
          <w:i/>
          <w:sz w:val="18"/>
          <w:szCs w:val="18"/>
          <w:highlight w:val="white"/>
        </w:rPr>
        <w:t>brand iconici e storici incarnano la passione dei fondatori visionari e dei clienti di oggi nei loro prodotti e servizi innovativi, tra cui Abarth, Alfa Romeo, Chrysler, Citroën, Dodge, DS Automobiles, Fiat, Jeep</w:t>
      </w:r>
      <w:r>
        <w:rPr>
          <w:rFonts w:ascii="Arial" w:hAnsi="Arial"/>
          <w:i/>
          <w:sz w:val="18"/>
          <w:szCs w:val="18"/>
          <w:highlight w:val="white"/>
          <w:vertAlign w:val="subscript"/>
        </w:rPr>
        <w:t>®</w:t>
      </w:r>
      <w:r>
        <w:rPr>
          <w:rFonts w:ascii="Arial" w:hAnsi="Arial"/>
          <w:i/>
          <w:sz w:val="18"/>
          <w:szCs w:val="18"/>
          <w:highlight w:val="white"/>
        </w:rPr>
        <w:t>, Lancia, Maserati, Opel, Peugeot, Ram, Vauxhall, Free2move e Leasys. Grazie alla diversità che ci alimenta, guidiamo il modo in cui il mondo si muove, aspirando a diventare la migliore azienda tecnologica di mobilità sostenibile, non la più grande, creando al contempo valore aggiunto per tutti gli stakeholder nonché per le community in cui opera. Per maggiori informazioni, visitare www.stellantis.com.</w:t>
      </w:r>
    </w:p>
    <w:tbl>
      <w:tblPr>
        <w:tblStyle w:val="TableGrid"/>
        <w:tblW w:w="44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01"/>
        <w:gridCol w:w="8257"/>
      </w:tblGrid>
      <w:tr w:rsidR="001961D8" w:rsidRPr="001961D8" w14:paraId="1D0BC5C0" w14:textId="77777777" w:rsidTr="00A4706D">
        <w:trPr>
          <w:trHeight w:val="2043"/>
        </w:trPr>
        <w:tc>
          <w:tcPr>
            <w:tcW w:w="101" w:type="dxa"/>
          </w:tcPr>
          <w:p w14:paraId="650ADB8E" w14:textId="77777777" w:rsidR="001961D8" w:rsidRPr="001961D8" w:rsidRDefault="001961D8" w:rsidP="001961D8">
            <w:pPr>
              <w:spacing w:after="240"/>
              <w:jc w:val="both"/>
              <w:rPr>
                <w:rFonts w:ascii="Arial" w:hAnsi="Arial" w:cs="Arial"/>
                <w:noProof/>
                <w:sz w:val="18"/>
                <w:szCs w:val="18"/>
              </w:rPr>
            </w:pPr>
          </w:p>
        </w:tc>
        <w:tc>
          <w:tcPr>
            <w:tcW w:w="8257" w:type="dxa"/>
          </w:tcPr>
          <w:p w14:paraId="6C95BF42" w14:textId="77777777" w:rsidR="001961D8" w:rsidRPr="001961D8" w:rsidRDefault="001961D8" w:rsidP="001961D8">
            <w:pPr>
              <w:spacing w:after="120" w:line="288" w:lineRule="auto"/>
              <w:rPr>
                <w:rFonts w:ascii="Arial" w:hAnsi="Arial" w:cs="Arial"/>
                <w:b/>
                <w:sz w:val="18"/>
                <w:szCs w:val="18"/>
              </w:rPr>
            </w:pPr>
            <w:r>
              <w:rPr>
                <w:rFonts w:ascii="Arial" w:hAnsi="Arial"/>
                <w:b/>
                <w:sz w:val="18"/>
                <w:szCs w:val="18"/>
              </w:rPr>
              <w:t>Per maggiori informazioni, contattare:</w:t>
            </w:r>
          </w:p>
          <w:bookmarkStart w:id="1" w:name="_Hlk97712922" w:displacedByCustomXml="next"/>
          <w:sdt>
            <w:sdtPr>
              <w:rPr>
                <w:rFonts w:ascii="Arial" w:hAnsi="Arial" w:cs="Arial"/>
                <w:sz w:val="18"/>
                <w:szCs w:val="18"/>
              </w:rPr>
              <w:id w:val="143632974"/>
              <w:placeholder>
                <w:docPart w:val="F14DF39D7503452892BDDD3109D14F90"/>
              </w:placeholder>
            </w:sdtPr>
            <w:sdtEndPr/>
            <w:sdtContent>
              <w:p w14:paraId="47D73DAA" w14:textId="77777777" w:rsidR="001961D8" w:rsidRPr="001961D8" w:rsidRDefault="00C178D2" w:rsidP="001961D8">
                <w:pPr>
                  <w:spacing w:before="240" w:line="360" w:lineRule="auto"/>
                  <w:contextualSpacing/>
                  <w:rPr>
                    <w:rFonts w:ascii="Arial" w:hAnsi="Arial" w:cs="Arial"/>
                    <w:sz w:val="18"/>
                    <w:szCs w:val="18"/>
                  </w:rPr>
                </w:pPr>
                <w:sdt>
                  <w:sdtPr>
                    <w:rPr>
                      <w:rFonts w:ascii="Arial" w:hAnsi="Arial" w:cs="Arial"/>
                      <w:sz w:val="18"/>
                      <w:szCs w:val="18"/>
                    </w:rPr>
                    <w:id w:val="-1719962335"/>
                    <w:placeholder>
                      <w:docPart w:val="81029A5FC47240919DDEFF569FCEBDE2"/>
                    </w:placeholder>
                  </w:sdtPr>
                  <w:sdtEndPr/>
                  <w:sdtContent>
                    <w:r w:rsidR="00652E5E">
                      <w:rPr>
                        <w:rFonts w:ascii="Arial" w:hAnsi="Arial"/>
                        <w:sz w:val="18"/>
                        <w:szCs w:val="18"/>
                      </w:rPr>
                      <w:t xml:space="preserve">Fernão </w:t>
                    </w:r>
                    <w:sdt>
                      <w:sdtPr>
                        <w:rPr>
                          <w:rFonts w:ascii="Arial" w:hAnsi="Arial" w:cs="Arial"/>
                          <w:sz w:val="18"/>
                          <w:szCs w:val="18"/>
                        </w:rPr>
                        <w:id w:val="743996128"/>
                        <w:placeholder>
                          <w:docPart w:val="D7E7B34A2B854B02AC87C7EF62E88A19"/>
                        </w:placeholder>
                      </w:sdtPr>
                      <w:sdtEndPr/>
                      <w:sdtContent>
                        <w:sdt>
                          <w:sdtPr>
                            <w:rPr>
                              <w:rFonts w:ascii="Arial" w:hAnsi="Arial" w:cs="Arial"/>
                              <w:sz w:val="18"/>
                              <w:szCs w:val="18"/>
                            </w:rPr>
                            <w:id w:val="1175080926"/>
                            <w:placeholder>
                              <w:docPart w:val="2F476C15226A4E1BBB37B2475CBBE515"/>
                            </w:placeholder>
                          </w:sdtPr>
                          <w:sdtEndPr/>
                          <w:sdtContent>
                            <w:r w:rsidR="00652E5E">
                              <w:rPr>
                                <w:rFonts w:ascii="Arial" w:hAnsi="Arial"/>
                                <w:sz w:val="18"/>
                                <w:szCs w:val="18"/>
                              </w:rPr>
                              <w:t>SILVEIRA</w:t>
                            </w:r>
                          </w:sdtContent>
                        </w:sdt>
                      </w:sdtContent>
                    </w:sdt>
                    <w:r w:rsidR="00652E5E">
                      <w:rPr>
                        <w:rFonts w:ascii="Arial" w:hAnsi="Arial"/>
                        <w:sz w:val="18"/>
                        <w:szCs w:val="18"/>
                      </w:rPr>
                      <w:t xml:space="preserve"> </w:t>
                    </w:r>
                    <w:sdt>
                      <w:sdtPr>
                        <w:rPr>
                          <w:rFonts w:ascii="Arial" w:hAnsi="Arial" w:cs="Arial"/>
                          <w:sz w:val="18"/>
                          <w:szCs w:val="18"/>
                        </w:rPr>
                        <w:id w:val="983514247"/>
                        <w:placeholder>
                          <w:docPart w:val="92AB9E91A862478C9D9355BDB73AC046"/>
                        </w:placeholder>
                      </w:sdtPr>
                      <w:sdtEndPr/>
                      <w:sdtContent>
                        <w:r w:rsidR="00652E5E">
                          <w:rPr>
                            <w:rFonts w:ascii="Arial" w:hAnsi="Arial"/>
                            <w:sz w:val="18"/>
                            <w:szCs w:val="18"/>
                          </w:rPr>
                          <w:t>+31 6 43 25 43 41 – fernao.silveira@stellantis.com</w:t>
                        </w:r>
                      </w:sdtContent>
                    </w:sdt>
                  </w:sdtContent>
                </w:sdt>
              </w:p>
            </w:sdtContent>
          </w:sdt>
          <w:bookmarkEnd w:id="1" w:displacedByCustomXml="prev"/>
          <w:sdt>
            <w:sdtPr>
              <w:rPr>
                <w:rFonts w:ascii="Arial" w:hAnsi="Arial" w:cs="Arial"/>
                <w:sz w:val="18"/>
                <w:szCs w:val="18"/>
              </w:rPr>
              <w:id w:val="1710839886"/>
              <w:placeholder>
                <w:docPart w:val="B2FD958878D0482C929C0412B1DAC7A6"/>
              </w:placeholder>
            </w:sdtPr>
            <w:sdtEndPr/>
            <w:sdtContent>
              <w:p w14:paraId="276571CF" w14:textId="675FA8D3" w:rsidR="001961D8" w:rsidRPr="001961D8" w:rsidRDefault="00C178D2" w:rsidP="001961D8">
                <w:pPr>
                  <w:spacing w:before="240" w:line="360" w:lineRule="auto"/>
                  <w:contextualSpacing/>
                  <w:rPr>
                    <w:rFonts w:ascii="Arial" w:hAnsi="Arial" w:cs="Arial"/>
                    <w:sz w:val="18"/>
                    <w:szCs w:val="18"/>
                  </w:rPr>
                </w:pPr>
                <w:sdt>
                  <w:sdtPr>
                    <w:rPr>
                      <w:rFonts w:ascii="Arial" w:hAnsi="Arial" w:cs="Arial"/>
                      <w:sz w:val="18"/>
                      <w:szCs w:val="18"/>
                    </w:rPr>
                    <w:id w:val="171761400"/>
                    <w:placeholder>
                      <w:docPart w:val="77E8613ECFC84247929CBF48D657A96C"/>
                    </w:placeholder>
                  </w:sdtPr>
                  <w:sdtEndPr/>
                  <w:sdtContent>
                    <w:r w:rsidR="00DD2D82" w:rsidRPr="00DD2D82">
                      <w:rPr>
                        <w:rFonts w:ascii="Arial" w:hAnsi="Arial"/>
                        <w:sz w:val="18"/>
                        <w:szCs w:val="18"/>
                      </w:rPr>
                      <w:t>Yolande PINEDA + 971526768389 – yolande.pineda@stellantis.com</w:t>
                    </w:r>
                  </w:sdtContent>
                </w:sdt>
              </w:p>
            </w:sdtContent>
          </w:sdt>
          <w:p w14:paraId="79CBDDE0" w14:textId="77777777" w:rsidR="001961D8" w:rsidRPr="001961D8" w:rsidRDefault="00C178D2" w:rsidP="001961D8">
            <w:pPr>
              <w:spacing w:before="120" w:after="240" w:line="288" w:lineRule="auto"/>
              <w:contextualSpacing/>
              <w:rPr>
                <w:rFonts w:ascii="Arial" w:hAnsi="Arial" w:cs="Arial"/>
                <w:color w:val="002060"/>
                <w:sz w:val="18"/>
                <w:szCs w:val="18"/>
              </w:rPr>
            </w:pPr>
            <w:hyperlink r:id="rId7" w:history="1">
              <w:r w:rsidR="00652E5E">
                <w:rPr>
                  <w:rFonts w:ascii="Arial" w:hAnsi="Arial"/>
                  <w:sz w:val="18"/>
                  <w:szCs w:val="18"/>
                </w:rPr>
                <w:t>communications@stellantis.com</w:t>
              </w:r>
            </w:hyperlink>
            <w:r w:rsidR="00652E5E">
              <w:br/>
            </w:r>
            <w:r w:rsidR="00652E5E">
              <w:rPr>
                <w:rFonts w:ascii="Arial" w:hAnsi="Arial"/>
                <w:sz w:val="18"/>
                <w:szCs w:val="18"/>
              </w:rPr>
              <w:t>www.stellantis.com</w:t>
            </w:r>
          </w:p>
        </w:tc>
      </w:tr>
    </w:tbl>
    <w:p w14:paraId="6005460D" w14:textId="4EE792A8" w:rsidR="00DD2D82" w:rsidRPr="005118E9" w:rsidRDefault="00DD2D82" w:rsidP="00DD2D82">
      <w:pPr>
        <w:spacing w:before="120" w:after="180" w:line="240" w:lineRule="auto"/>
        <w:jc w:val="both"/>
        <w:rPr>
          <w:rFonts w:ascii="Arial" w:hAnsi="Arial"/>
          <w:b/>
          <w:i/>
        </w:rPr>
      </w:pPr>
      <w:r w:rsidRPr="005118E9">
        <w:rPr>
          <w:rFonts w:ascii="Arial" w:hAnsi="Arial"/>
          <w:b/>
          <w:i/>
        </w:rPr>
        <w:t>Koç Holding</w:t>
      </w:r>
    </w:p>
    <w:p w14:paraId="455D584F" w14:textId="40EF1197" w:rsidR="00DD2D82" w:rsidRPr="005118E9" w:rsidRDefault="005118E9" w:rsidP="00DD2D82">
      <w:pPr>
        <w:spacing w:before="120" w:after="180"/>
        <w:jc w:val="both"/>
        <w:rPr>
          <w:rFonts w:ascii="Arial" w:hAnsi="Arial" w:cs="Arial"/>
          <w:i/>
        </w:rPr>
      </w:pPr>
      <w:r w:rsidRPr="005118E9">
        <w:rPr>
          <w:rFonts w:ascii="Arial" w:hAnsi="Arial" w:cs="Arial"/>
          <w:i/>
        </w:rPr>
        <w:t>A partire dal 1926, Koç Holding, sempre al passo con i cambiamenti, è diventat</w:t>
      </w:r>
      <w:r w:rsidR="005C76A5">
        <w:rPr>
          <w:rFonts w:ascii="Arial" w:hAnsi="Arial" w:cs="Arial"/>
          <w:i/>
        </w:rPr>
        <w:t>o</w:t>
      </w:r>
      <w:r w:rsidRPr="005118E9">
        <w:rPr>
          <w:rFonts w:ascii="Arial" w:hAnsi="Arial" w:cs="Arial"/>
          <w:i/>
        </w:rPr>
        <w:t xml:space="preserve"> uno dei </w:t>
      </w:r>
      <w:r w:rsidR="005C76A5">
        <w:rPr>
          <w:rFonts w:ascii="Arial" w:hAnsi="Arial" w:cs="Arial"/>
          <w:i/>
        </w:rPr>
        <w:t xml:space="preserve">più grandi </w:t>
      </w:r>
      <w:r w:rsidRPr="005118E9">
        <w:rPr>
          <w:rFonts w:ascii="Arial" w:hAnsi="Arial" w:cs="Arial"/>
          <w:i/>
        </w:rPr>
        <w:t>gruppi</w:t>
      </w:r>
      <w:r w:rsidR="005C76A5">
        <w:rPr>
          <w:rFonts w:ascii="Arial" w:hAnsi="Arial" w:cs="Arial"/>
          <w:i/>
        </w:rPr>
        <w:t xml:space="preserve"> e</w:t>
      </w:r>
      <w:r w:rsidRPr="005118E9">
        <w:rPr>
          <w:rFonts w:ascii="Arial" w:hAnsi="Arial" w:cs="Arial"/>
          <w:i/>
        </w:rPr>
        <w:t xml:space="preserve"> di maggior successo in Turchia e nella regione, nonché l'unica </w:t>
      </w:r>
      <w:r w:rsidR="005C76A5">
        <w:rPr>
          <w:rFonts w:ascii="Arial" w:hAnsi="Arial" w:cs="Arial"/>
          <w:i/>
        </w:rPr>
        <w:t>A</w:t>
      </w:r>
      <w:r w:rsidRPr="005118E9">
        <w:rPr>
          <w:rFonts w:ascii="Arial" w:hAnsi="Arial" w:cs="Arial"/>
          <w:i/>
        </w:rPr>
        <w:t>zienda turca a figurare nella lista Fortune Global 500. Ad oggi, Koç Holding è la principale holding di investimento della Turchia e il Gruppo Koç è il più grande gruppo industriale e di servizi in termini di ricavi, esportazioni, numero di dipendenti, tasse pagate e capitalizzazione totale di mercato alla Borsa di Istanbul. Il Gruppo Koç è stato una forza trainante dell'economia turca, con ricavi che corrispondono al</w:t>
      </w:r>
      <w:r w:rsidR="005B2C49">
        <w:rPr>
          <w:rFonts w:ascii="Arial" w:hAnsi="Arial" w:cs="Arial"/>
          <w:i/>
        </w:rPr>
        <w:t xml:space="preserve"> </w:t>
      </w:r>
      <w:r w:rsidR="005E7037">
        <w:rPr>
          <w:rFonts w:ascii="Arial" w:hAnsi="Arial" w:cs="Arial"/>
          <w:i/>
        </w:rPr>
        <w:t>9</w:t>
      </w:r>
      <w:r w:rsidRPr="005118E9">
        <w:rPr>
          <w:rFonts w:ascii="Arial" w:hAnsi="Arial" w:cs="Arial"/>
          <w:i/>
        </w:rPr>
        <w:t>% del PIL turco ed esportazioni che comprendono il 7% delle esportazioni totali della Turchia. Koç Holding detiene posizioni di primo piano con forti vantaggi competitivi nei settori dell'energia, dell'automobile, dei beni di consumo durevoli e della finanza, che offrono un forte potenziale di crescita a lungo termine. La creazione di valore sostenibile a lungo termine per il mondo e le società in cui il Gruppo Koç opera è al centro del suo modello di business.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12"/>
        <w:gridCol w:w="9248"/>
      </w:tblGrid>
      <w:tr w:rsidR="00DD2D82" w:rsidRPr="00A435DF" w14:paraId="3AE90D73" w14:textId="77777777" w:rsidTr="00C07822">
        <w:trPr>
          <w:trHeight w:val="2043"/>
        </w:trPr>
        <w:tc>
          <w:tcPr>
            <w:tcW w:w="90" w:type="dxa"/>
          </w:tcPr>
          <w:p w14:paraId="2911A4A5" w14:textId="77777777" w:rsidR="00DD2D82" w:rsidRPr="005E7037" w:rsidRDefault="00DD2D82" w:rsidP="00C07822">
            <w:pPr>
              <w:spacing w:before="120" w:after="180"/>
              <w:jc w:val="both"/>
              <w:rPr>
                <w:rFonts w:ascii="Arial" w:hAnsi="Arial" w:cs="Arial"/>
                <w:noProof/>
                <w:sz w:val="22"/>
                <w:szCs w:val="22"/>
                <w:lang w:val="es-ES"/>
              </w:rPr>
            </w:pPr>
          </w:p>
          <w:p w14:paraId="24E60E88" w14:textId="77777777" w:rsidR="00DD2D82" w:rsidRPr="005E7037" w:rsidRDefault="00DD2D82" w:rsidP="00C07822">
            <w:pPr>
              <w:spacing w:before="120" w:after="180"/>
              <w:jc w:val="both"/>
              <w:rPr>
                <w:rFonts w:ascii="Arial" w:hAnsi="Arial" w:cs="Arial"/>
                <w:noProof/>
                <w:sz w:val="22"/>
                <w:szCs w:val="22"/>
                <w:lang w:val="es-ES"/>
              </w:rPr>
            </w:pPr>
          </w:p>
          <w:p w14:paraId="28C840EA" w14:textId="77777777" w:rsidR="00DD2D82" w:rsidRPr="005E7037" w:rsidRDefault="00DD2D82" w:rsidP="00C07822">
            <w:pPr>
              <w:spacing w:before="120" w:after="180"/>
              <w:jc w:val="both"/>
              <w:rPr>
                <w:rFonts w:ascii="Arial" w:hAnsi="Arial" w:cs="Arial"/>
                <w:noProof/>
                <w:sz w:val="22"/>
                <w:szCs w:val="22"/>
                <w:lang w:val="es-ES"/>
              </w:rPr>
            </w:pPr>
          </w:p>
          <w:p w14:paraId="256F0BC1" w14:textId="77777777" w:rsidR="00DD2D82" w:rsidRPr="005E7037" w:rsidRDefault="00DD2D82" w:rsidP="00C07822">
            <w:pPr>
              <w:spacing w:before="120" w:after="180"/>
              <w:jc w:val="both"/>
              <w:rPr>
                <w:rFonts w:ascii="Arial" w:hAnsi="Arial" w:cs="Arial"/>
                <w:noProof/>
                <w:sz w:val="22"/>
                <w:szCs w:val="22"/>
                <w:lang w:val="es-ES"/>
              </w:rPr>
            </w:pPr>
          </w:p>
          <w:p w14:paraId="3022AE2D" w14:textId="77777777" w:rsidR="00DD2D82" w:rsidRPr="005E7037" w:rsidRDefault="00DD2D82" w:rsidP="00C07822">
            <w:pPr>
              <w:spacing w:before="120" w:after="180"/>
              <w:jc w:val="both"/>
              <w:rPr>
                <w:rFonts w:ascii="Arial" w:hAnsi="Arial" w:cs="Arial"/>
                <w:noProof/>
                <w:sz w:val="22"/>
                <w:szCs w:val="22"/>
                <w:lang w:val="es-ES"/>
              </w:rPr>
            </w:pPr>
          </w:p>
        </w:tc>
        <w:tc>
          <w:tcPr>
            <w:tcW w:w="7398" w:type="dxa"/>
          </w:tcPr>
          <w:p w14:paraId="3D80BDA1" w14:textId="5FCB2075" w:rsidR="00DD2D82" w:rsidRPr="005E7037" w:rsidRDefault="00DD2D82" w:rsidP="00C07822">
            <w:pPr>
              <w:spacing w:before="120" w:after="180" w:line="288" w:lineRule="auto"/>
              <w:rPr>
                <w:rFonts w:ascii="Arial" w:hAnsi="Arial" w:cs="Arial"/>
                <w:b/>
                <w:sz w:val="22"/>
                <w:szCs w:val="22"/>
                <w:lang w:val="es-ES"/>
              </w:rPr>
            </w:pPr>
            <w:r>
              <w:rPr>
                <w:rFonts w:ascii="Arial" w:hAnsi="Arial"/>
                <w:b/>
                <w:sz w:val="18"/>
                <w:szCs w:val="18"/>
              </w:rPr>
              <w:t>Per maggiori informazioni, contattare:</w:t>
            </w:r>
          </w:p>
          <w:sdt>
            <w:sdtPr>
              <w:rPr>
                <w:rFonts w:ascii="Arial" w:hAnsi="Arial" w:cs="Arial"/>
                <w:lang w:val="en-GB"/>
              </w:rPr>
              <w:id w:val="-689843112"/>
              <w:placeholder>
                <w:docPart w:val="B4E7AD92D03F4C48AE424416AC23E469"/>
              </w:placeholder>
            </w:sdtPr>
            <w:sdtEndPr/>
            <w:sdtContent>
              <w:p w14:paraId="0EF795B2" w14:textId="77777777" w:rsidR="00DD2D82" w:rsidRPr="005E7037" w:rsidRDefault="00C178D2" w:rsidP="00C07822">
                <w:pPr>
                  <w:spacing w:before="120" w:after="180" w:line="360" w:lineRule="auto"/>
                  <w:rPr>
                    <w:rFonts w:ascii="Arial" w:hAnsi="Arial" w:cs="Arial"/>
                    <w:sz w:val="22"/>
                    <w:szCs w:val="22"/>
                    <w:lang w:val="es-ES"/>
                  </w:rPr>
                </w:pPr>
                <w:sdt>
                  <w:sdtPr>
                    <w:rPr>
                      <w:rFonts w:ascii="Arial" w:hAnsi="Arial" w:cs="Arial"/>
                      <w:lang w:val="en-GB"/>
                    </w:rPr>
                    <w:id w:val="-1469504634"/>
                    <w:placeholder>
                      <w:docPart w:val="9462B95DF870406589C916E3A602556F"/>
                    </w:placeholder>
                  </w:sdtPr>
                  <w:sdtEndPr/>
                  <w:sdtContent>
                    <w:proofErr w:type="spellStart"/>
                    <w:r w:rsidR="00DD2D82" w:rsidRPr="005E7037">
                      <w:rPr>
                        <w:rFonts w:ascii="Arial" w:hAnsi="Arial" w:cs="Arial"/>
                        <w:sz w:val="22"/>
                        <w:szCs w:val="22"/>
                        <w:lang w:val="es-ES"/>
                      </w:rPr>
                      <w:t>Yeliz</w:t>
                    </w:r>
                    <w:proofErr w:type="spellEnd"/>
                    <w:r w:rsidR="00DD2D82" w:rsidRPr="005E7037">
                      <w:rPr>
                        <w:rFonts w:ascii="Arial" w:hAnsi="Arial" w:cs="Arial"/>
                        <w:sz w:val="22"/>
                        <w:szCs w:val="22"/>
                        <w:lang w:val="es-ES"/>
                      </w:rPr>
                      <w:t xml:space="preserve"> </w:t>
                    </w:r>
                    <w:proofErr w:type="spellStart"/>
                    <w:r w:rsidR="00DD2D82" w:rsidRPr="005E7037">
                      <w:rPr>
                        <w:rFonts w:ascii="Arial" w:hAnsi="Arial" w:cs="Arial"/>
                        <w:sz w:val="22"/>
                        <w:szCs w:val="22"/>
                        <w:lang w:val="es-ES"/>
                      </w:rPr>
                      <w:t>Öz</w:t>
                    </w:r>
                    <w:proofErr w:type="spellEnd"/>
                    <w:r w:rsidR="00DD2D82" w:rsidRPr="005E7037">
                      <w:rPr>
                        <w:rFonts w:ascii="Arial" w:hAnsi="Arial" w:cs="Arial"/>
                        <w:sz w:val="22"/>
                        <w:szCs w:val="22"/>
                        <w:lang w:val="es-ES"/>
                      </w:rPr>
                      <w:t xml:space="preserve"> Kara  </w:t>
                    </w:r>
                    <w:sdt>
                      <w:sdtPr>
                        <w:rPr>
                          <w:rFonts w:ascii="Arial" w:hAnsi="Arial" w:cs="Arial"/>
                          <w:lang w:val="en-GB"/>
                        </w:rPr>
                        <w:id w:val="-1791362014"/>
                        <w:placeholder>
                          <w:docPart w:val="14F7E05A4AE54D1DAD042F1064BEAEC5"/>
                        </w:placeholder>
                      </w:sdtPr>
                      <w:sdtEndPr/>
                      <w:sdtContent>
                        <w:r w:rsidR="00DD2D82" w:rsidRPr="005E7037">
                          <w:rPr>
                            <w:rFonts w:ascii="Arial" w:hAnsi="Arial" w:cs="Arial"/>
                            <w:sz w:val="22"/>
                            <w:szCs w:val="22"/>
                            <w:lang w:val="es-ES"/>
                          </w:rPr>
                          <w:t>+90 216 531 0387 – yelizo@koc.com.tr</w:t>
                        </w:r>
                      </w:sdtContent>
                    </w:sdt>
                  </w:sdtContent>
                </w:sdt>
              </w:p>
            </w:sdtContent>
          </w:sdt>
          <w:p w14:paraId="4B3676B9" w14:textId="77777777" w:rsidR="00DD2D82" w:rsidRPr="005E7037" w:rsidRDefault="00C178D2" w:rsidP="00C07822">
            <w:pPr>
              <w:spacing w:before="120" w:after="180" w:line="288" w:lineRule="auto"/>
              <w:rPr>
                <w:rStyle w:val="Hyperlink"/>
                <w:rFonts w:ascii="Arial" w:hAnsi="Arial" w:cs="Arial"/>
                <w:sz w:val="22"/>
                <w:szCs w:val="22"/>
                <w:lang w:val="es-ES"/>
              </w:rPr>
            </w:pPr>
            <w:hyperlink r:id="rId8" w:history="1">
              <w:r w:rsidR="00DD2D82" w:rsidRPr="005E7037">
                <w:rPr>
                  <w:rStyle w:val="Hyperlink"/>
                  <w:rFonts w:ascii="Arial" w:hAnsi="Arial" w:cs="Arial"/>
                  <w:sz w:val="22"/>
                  <w:szCs w:val="22"/>
                  <w:lang w:val="es-ES"/>
                </w:rPr>
                <w:t>https://www.koc.com.tr/en</w:t>
              </w:r>
            </w:hyperlink>
          </w:p>
          <w:p w14:paraId="037585BB" w14:textId="77777777" w:rsidR="00DD2D82" w:rsidRPr="005E7037" w:rsidRDefault="00DD2D82" w:rsidP="00C07822">
            <w:pPr>
              <w:spacing w:before="120" w:after="180" w:line="288" w:lineRule="auto"/>
              <w:rPr>
                <w:rFonts w:ascii="Arial" w:hAnsi="Arial" w:cs="Arial"/>
                <w:sz w:val="22"/>
                <w:szCs w:val="22"/>
                <w:lang w:val="es-ES"/>
              </w:rPr>
            </w:pPr>
          </w:p>
          <w:p w14:paraId="4E980756" w14:textId="50470253" w:rsidR="00DD2D82" w:rsidRPr="005E7037" w:rsidRDefault="00267C87" w:rsidP="00C07822">
            <w:pPr>
              <w:spacing w:before="120" w:after="180"/>
              <w:jc w:val="both"/>
              <w:rPr>
                <w:rFonts w:ascii="Arial" w:hAnsi="Arial" w:cs="Arial"/>
                <w:i/>
                <w:sz w:val="22"/>
                <w:szCs w:val="22"/>
                <w:lang w:val="es-ES"/>
              </w:rPr>
            </w:pPr>
            <w:proofErr w:type="spellStart"/>
            <w:r w:rsidRPr="005E7037">
              <w:rPr>
                <w:rFonts w:ascii="Arial" w:hAnsi="Arial" w:cs="Arial"/>
                <w:b/>
                <w:i/>
                <w:sz w:val="22"/>
                <w:szCs w:val="22"/>
                <w:lang w:val="es-ES"/>
              </w:rPr>
              <w:t>Tofaş</w:t>
            </w:r>
            <w:proofErr w:type="spellEnd"/>
            <w:r w:rsidR="00DD2D82" w:rsidRPr="005E7037">
              <w:rPr>
                <w:rFonts w:ascii="Arial" w:hAnsi="Arial" w:cs="Arial"/>
                <w:b/>
                <w:i/>
                <w:sz w:val="22"/>
                <w:szCs w:val="22"/>
                <w:lang w:val="es-ES"/>
              </w:rPr>
              <w:t>:</w:t>
            </w:r>
          </w:p>
          <w:p w14:paraId="7E1419CB" w14:textId="3D0FE932" w:rsidR="005118E9" w:rsidRDefault="005118E9" w:rsidP="005118E9">
            <w:pPr>
              <w:spacing w:before="120" w:after="180" w:line="288" w:lineRule="auto"/>
              <w:jc w:val="both"/>
              <w:rPr>
                <w:rFonts w:ascii="Arial" w:hAnsi="Arial" w:cs="Arial"/>
                <w:i/>
                <w:sz w:val="22"/>
                <w:szCs w:val="22"/>
              </w:rPr>
            </w:pPr>
            <w:r w:rsidRPr="005118E9">
              <w:rPr>
                <w:rFonts w:ascii="Arial" w:hAnsi="Arial" w:cs="Arial"/>
                <w:i/>
                <w:sz w:val="22"/>
                <w:szCs w:val="22"/>
              </w:rPr>
              <w:t xml:space="preserve">Tofaş, una delle principali </w:t>
            </w:r>
            <w:r w:rsidR="00D23426">
              <w:rPr>
                <w:rFonts w:ascii="Arial" w:hAnsi="Arial" w:cs="Arial"/>
                <w:i/>
                <w:sz w:val="22"/>
                <w:szCs w:val="22"/>
              </w:rPr>
              <w:t>A</w:t>
            </w:r>
            <w:r w:rsidRPr="005118E9">
              <w:rPr>
                <w:rFonts w:ascii="Arial" w:hAnsi="Arial" w:cs="Arial"/>
                <w:i/>
                <w:sz w:val="22"/>
                <w:szCs w:val="22"/>
              </w:rPr>
              <w:t>ziende automobilistiche turche, è stata fondata nel 1968. Il 24,3% delle azioni di Tofaş è negoziato alla Borsa di Istanbul; il controllo delle azioni rimanenti è diviso equamente tra Koç Holding e Stellantis. Le azioni di Tofaş negoziate pubblicamente sono anche incluse negli indici di Corporate Governance e di Sostenibilità della Borsa di Istanbul. Come uno dei principali centri di produzione e di R&amp;</w:t>
            </w:r>
            <w:r>
              <w:rPr>
                <w:rFonts w:ascii="Arial" w:hAnsi="Arial" w:cs="Arial"/>
                <w:i/>
                <w:sz w:val="22"/>
                <w:szCs w:val="22"/>
              </w:rPr>
              <w:t>D</w:t>
            </w:r>
            <w:r w:rsidRPr="005118E9">
              <w:rPr>
                <w:rFonts w:ascii="Arial" w:hAnsi="Arial" w:cs="Arial"/>
                <w:i/>
                <w:sz w:val="22"/>
                <w:szCs w:val="22"/>
              </w:rPr>
              <w:t xml:space="preserve"> di Stellantis, Tofaş crea valore aggiunto per l'economia, l'industria e il know-how di R&amp;</w:t>
            </w:r>
            <w:r>
              <w:rPr>
                <w:rFonts w:ascii="Arial" w:hAnsi="Arial" w:cs="Arial"/>
                <w:i/>
                <w:sz w:val="22"/>
                <w:szCs w:val="22"/>
              </w:rPr>
              <w:t>D</w:t>
            </w:r>
            <w:r w:rsidRPr="005118E9">
              <w:rPr>
                <w:rFonts w:ascii="Arial" w:hAnsi="Arial" w:cs="Arial"/>
                <w:i/>
                <w:sz w:val="22"/>
                <w:szCs w:val="22"/>
              </w:rPr>
              <w:t xml:space="preserve"> della Turchia, assumendo ruoli importanti nei progetti di sviluppo dei prodotti globali della sua casa madre. Lo stabilimento di Tofaş produce Fiat Doblò e Fiorino, nonché i modelli berlina, hatchback, station wagon e cross della famiglia Fiat Tipo/Egea. </w:t>
            </w:r>
            <w:r w:rsidR="00552D58" w:rsidRPr="005118E9">
              <w:rPr>
                <w:rFonts w:ascii="Arial" w:hAnsi="Arial" w:cs="Arial"/>
                <w:i/>
                <w:sz w:val="22"/>
                <w:szCs w:val="22"/>
              </w:rPr>
              <w:t>in Turchia</w:t>
            </w:r>
            <w:r w:rsidR="00552D58">
              <w:rPr>
                <w:rFonts w:ascii="Arial" w:hAnsi="Arial" w:cs="Arial"/>
                <w:i/>
                <w:sz w:val="22"/>
                <w:szCs w:val="22"/>
              </w:rPr>
              <w:t xml:space="preserve">, </w:t>
            </w:r>
            <w:r w:rsidRPr="005118E9">
              <w:rPr>
                <w:rFonts w:ascii="Arial" w:hAnsi="Arial" w:cs="Arial"/>
                <w:i/>
                <w:sz w:val="22"/>
                <w:szCs w:val="22"/>
              </w:rPr>
              <w:t>Tofaş offre un ampio portafoglio di marchi e prodotti</w:t>
            </w:r>
            <w:r w:rsidR="00552D58">
              <w:rPr>
                <w:rFonts w:ascii="Arial" w:hAnsi="Arial" w:cs="Arial"/>
                <w:i/>
                <w:sz w:val="22"/>
                <w:szCs w:val="22"/>
              </w:rPr>
              <w:t>:</w:t>
            </w:r>
            <w:r w:rsidRPr="005118E9">
              <w:rPr>
                <w:rFonts w:ascii="Arial" w:hAnsi="Arial" w:cs="Arial"/>
                <w:i/>
                <w:sz w:val="22"/>
                <w:szCs w:val="22"/>
              </w:rPr>
              <w:t xml:space="preserve"> è distributore dei </w:t>
            </w:r>
            <w:r w:rsidR="00552D58">
              <w:rPr>
                <w:rFonts w:ascii="Arial" w:hAnsi="Arial" w:cs="Arial"/>
                <w:i/>
                <w:sz w:val="22"/>
                <w:szCs w:val="22"/>
              </w:rPr>
              <w:t>brand</w:t>
            </w:r>
            <w:r w:rsidRPr="005118E9">
              <w:rPr>
                <w:rFonts w:ascii="Arial" w:hAnsi="Arial" w:cs="Arial"/>
                <w:i/>
                <w:sz w:val="22"/>
                <w:szCs w:val="22"/>
              </w:rPr>
              <w:t xml:space="preserve"> Fiat, Fiat Professional, Alfa Romeo, Jeep®, Maserati e Ferrari.</w:t>
            </w:r>
          </w:p>
          <w:p w14:paraId="26BD0E04" w14:textId="22464D66" w:rsidR="00DD2D82" w:rsidRDefault="00DD2D82" w:rsidP="00C07822">
            <w:pPr>
              <w:spacing w:before="120" w:after="180" w:line="288" w:lineRule="auto"/>
              <w:rPr>
                <w:rFonts w:ascii="Arial" w:hAnsi="Arial"/>
                <w:b/>
                <w:sz w:val="18"/>
                <w:szCs w:val="18"/>
              </w:rPr>
            </w:pPr>
            <w:r>
              <w:rPr>
                <w:rFonts w:ascii="Arial" w:hAnsi="Arial"/>
                <w:b/>
                <w:sz w:val="18"/>
                <w:szCs w:val="18"/>
              </w:rPr>
              <w:t>Per maggiori informazioni, contattare:</w:t>
            </w:r>
          </w:p>
          <w:p w14:paraId="20999F57" w14:textId="0461606E" w:rsidR="00DD2D82" w:rsidRPr="005E7037" w:rsidRDefault="00DD2D82" w:rsidP="00C07822">
            <w:pPr>
              <w:spacing w:before="120" w:after="180" w:line="288" w:lineRule="auto"/>
              <w:rPr>
                <w:rFonts w:ascii="Arial" w:hAnsi="Arial" w:cs="Arial"/>
                <w:sz w:val="22"/>
                <w:szCs w:val="22"/>
              </w:rPr>
            </w:pPr>
            <w:r w:rsidRPr="005E7037">
              <w:rPr>
                <w:rFonts w:ascii="Arial" w:hAnsi="Arial" w:cs="Arial"/>
                <w:sz w:val="22"/>
                <w:szCs w:val="22"/>
              </w:rPr>
              <w:lastRenderedPageBreak/>
              <w:t>Arzu Yazgan +90 212 275 3390 – arzu.yazgan@tofas.com.tr</w:t>
            </w:r>
          </w:p>
          <w:p w14:paraId="40828F5E" w14:textId="77777777" w:rsidR="00DD2D82" w:rsidRPr="005E7037" w:rsidRDefault="00DD2D82" w:rsidP="00C07822">
            <w:pPr>
              <w:spacing w:before="120" w:after="180" w:line="288" w:lineRule="auto"/>
              <w:rPr>
                <w:rFonts w:ascii="Arial" w:hAnsi="Arial" w:cs="Arial"/>
                <w:sz w:val="22"/>
                <w:szCs w:val="22"/>
              </w:rPr>
            </w:pPr>
            <w:r w:rsidRPr="005E7037">
              <w:rPr>
                <w:rFonts w:ascii="Arial" w:hAnsi="Arial" w:cs="Arial"/>
                <w:sz w:val="22"/>
                <w:szCs w:val="22"/>
              </w:rPr>
              <w:t xml:space="preserve">Nihan Kızıltan +90 212 275 3390 – </w:t>
            </w:r>
            <w:hyperlink r:id="rId9" w:history="1">
              <w:r w:rsidRPr="005E7037">
                <w:rPr>
                  <w:rFonts w:ascii="Arial" w:hAnsi="Arial" w:cs="Arial"/>
                  <w:sz w:val="22"/>
                  <w:szCs w:val="22"/>
                </w:rPr>
                <w:t>nihan.kiziltan@tofas.com.tr</w:t>
              </w:r>
            </w:hyperlink>
          </w:p>
          <w:p w14:paraId="6BC2DCEA" w14:textId="77777777" w:rsidR="00DD2D82" w:rsidRPr="005E7037" w:rsidRDefault="00DD2D82" w:rsidP="00C07822">
            <w:pPr>
              <w:spacing w:before="120" w:after="180" w:line="288" w:lineRule="auto"/>
              <w:rPr>
                <w:rFonts w:ascii="Arial" w:hAnsi="Arial" w:cs="Arial"/>
                <w:color w:val="002060"/>
                <w:sz w:val="22"/>
                <w:szCs w:val="22"/>
              </w:rPr>
            </w:pPr>
            <w:r w:rsidRPr="005E7037">
              <w:rPr>
                <w:rFonts w:ascii="Arial" w:hAnsi="Arial" w:cs="Arial"/>
                <w:color w:val="0070C0"/>
                <w:sz w:val="22"/>
                <w:szCs w:val="22"/>
                <w:u w:val="single"/>
                <w:lang w:eastAsia="tr-TR"/>
              </w:rPr>
              <w:t>www.tofas.com.tr</w:t>
            </w:r>
          </w:p>
          <w:p w14:paraId="2DA2000F" w14:textId="77777777" w:rsidR="00DD2D82" w:rsidRPr="005E7037" w:rsidRDefault="00DD2D82" w:rsidP="00C07822">
            <w:pPr>
              <w:spacing w:before="120" w:after="180" w:line="288" w:lineRule="auto"/>
              <w:rPr>
                <w:rFonts w:ascii="Arial" w:hAnsi="Arial" w:cs="Arial"/>
                <w:color w:val="002060"/>
                <w:sz w:val="22"/>
                <w:szCs w:val="22"/>
              </w:rPr>
            </w:pPr>
          </w:p>
        </w:tc>
      </w:tr>
    </w:tbl>
    <w:p w14:paraId="1C7A5159" w14:textId="7E17424E" w:rsidR="001961D8" w:rsidRPr="001961D8" w:rsidRDefault="001961D8" w:rsidP="001961D8">
      <w:pPr>
        <w:spacing w:after="240" w:line="240" w:lineRule="auto"/>
        <w:rPr>
          <w:rFonts w:ascii="Arial" w:hAnsi="Arial" w:cs="Arial"/>
          <w:b/>
          <w:sz w:val="18"/>
          <w:szCs w:val="18"/>
        </w:rPr>
      </w:pPr>
    </w:p>
    <w:p w14:paraId="1B8F7204" w14:textId="77777777" w:rsidR="001961D8" w:rsidRPr="001961D8" w:rsidRDefault="001961D8" w:rsidP="001961D8">
      <w:pPr>
        <w:rPr>
          <w:rFonts w:ascii="Arial" w:hAnsi="Arial" w:cs="Arial"/>
        </w:rPr>
      </w:pPr>
      <w:r>
        <w:br w:type="page"/>
      </w:r>
    </w:p>
    <w:p w14:paraId="6915BD25" w14:textId="77777777" w:rsidR="001961D8" w:rsidRPr="001961D8" w:rsidRDefault="001961D8" w:rsidP="001961D8">
      <w:pPr>
        <w:keepNext/>
        <w:spacing w:after="0" w:line="240" w:lineRule="auto"/>
        <w:rPr>
          <w:caps/>
          <w:sz w:val="18"/>
          <w:szCs w:val="18"/>
        </w:rPr>
      </w:pPr>
      <w:r>
        <w:rPr>
          <w:caps/>
          <w:sz w:val="18"/>
          <w:szCs w:val="18"/>
        </w:rPr>
        <w:lastRenderedPageBreak/>
        <w:t>DICHIARAZIONI PREVISIONALI</w:t>
      </w:r>
    </w:p>
    <w:p w14:paraId="02062F67" w14:textId="77777777" w:rsidR="001961D8" w:rsidRPr="001961D8" w:rsidRDefault="001961D8" w:rsidP="001961D8">
      <w:pPr>
        <w:spacing w:after="0" w:line="240" w:lineRule="auto"/>
        <w:jc w:val="both"/>
        <w:rPr>
          <w:rFonts w:eastAsia="Encode Sans"/>
          <w:i/>
          <w:sz w:val="18"/>
          <w:szCs w:val="18"/>
        </w:rPr>
      </w:pPr>
      <w:r>
        <w:rPr>
          <w:i/>
          <w:sz w:val="18"/>
          <w:szCs w:val="18"/>
        </w:rPr>
        <w:t>La presente comunicazione contiene dichiarazioni previsionali. In particolare, le dichiarazioni riguardanti gli eventi futuri e i risultati previsti delle operazioni, le strategie aziendali, la previsione dei benefici ottenuti dalla transazione proposta, i risultati finanziari e operativi futuri, la data di chiusura prevista per la transazione proposta e gli altri aspetti previsti relativamente alle nostre operazioni o ai nostri risultati operativi sono dichiarazioni previsionali. Tali dichiarazioni possono includere i termini come “possono”, “saranno”, "prevedono", "potrebbero", "dovrebbero", "intendono", "stimano", "anticipano", "credono", "rimangono", "sulla buona strada", "progettano", "obiettivo", "previsione", "proiezione", "prospettiva", "prospettive", "piano" o termini simili. Le dichiarazioni previsionali non sono garanzie di prestazioni future. Piuttosto, si basano sullo stato attuale delle conoscenze di Stellantis, sulle aspettative future e sulle proiezioni di eventi futuri e sono, per loro natura, soggette a rischi e incertezze intrinseche. Si riferiscono a eventi e dipendono da circostanze che possono o non possono verificarsi o esistere in futuro e, pertanto, che non dovrebbero essere oggetto di eccessivo affidamento.</w:t>
      </w:r>
    </w:p>
    <w:p w14:paraId="425538AB" w14:textId="77777777" w:rsidR="001961D8" w:rsidRPr="001961D8" w:rsidRDefault="001961D8" w:rsidP="001961D8">
      <w:pPr>
        <w:spacing w:after="0" w:line="240" w:lineRule="auto"/>
        <w:jc w:val="both"/>
        <w:rPr>
          <w:rFonts w:eastAsia="Encode Sans"/>
          <w:i/>
          <w:sz w:val="18"/>
          <w:szCs w:val="18"/>
        </w:rPr>
      </w:pPr>
    </w:p>
    <w:p w14:paraId="5A6BBF14" w14:textId="77777777" w:rsidR="001961D8" w:rsidRPr="001961D8" w:rsidRDefault="001961D8" w:rsidP="001961D8">
      <w:pPr>
        <w:spacing w:after="0" w:line="240" w:lineRule="auto"/>
        <w:jc w:val="both"/>
        <w:rPr>
          <w:rFonts w:eastAsia="Encode Sans"/>
          <w:i/>
          <w:sz w:val="18"/>
          <w:szCs w:val="18"/>
        </w:rPr>
      </w:pPr>
      <w:r>
        <w:rPr>
          <w:i/>
          <w:sz w:val="18"/>
          <w:szCs w:val="18"/>
        </w:rPr>
        <w:t>I risultati effettivi potrebbero differire materialmente da quelli espressi nelle dichiarazioni previsionali quale risultato di una molteplicità di fattori, inclusi: l’impatto della pandemia da COVID-19, la capacità di Stellantis di lanciare nuovi prodotti con successo e di mantenere i volumi di consegna dei veicoli; i cambiamenti nei mercati finanziari globali, nel contesto economico generale e i cambiamenti nella domanda di prodotti automobilistici, soggetta a ciclicità; i cambiamenti delle condizioni economiche e politiche locali, i cambiamenti delle politiche commerciali e l’imposizione di dazi a livello globale e regionale o dazi mirati all’industria automobilistica, l’attuazione di riforme fiscali o altre variazioni nelle normative e regolamentazioni fiscali; la capacità di Stellantis di espandere a livello globale alcuni dei suoi marchi; la sua capacità di offrire prodotti innovativi e attraenti; la sua capacità di sviluppare, produrre e vendere veicoli con caratteristiche avanzate tra cui elettrificazione potenziata, connettività e guida autonoma; diversi tipi di reclami, azioni legali, indagini governative e altre controversie legali, inclusi responsabilità del prodotto e reclami di garanzia del prodotto e reclami, indagini e azioni legali in materia ambientale; costi operativi in relazione alla conformità con le normative di tutela dell’ambiente, della salute e della sicurezza; l’elevato livello di concorrenza nel settore automobilistico, che potrebbe aumentare a causa di consolidamenti; la potenziale carenza nel finanziamento dei piani pensionistici di Stellantis; la capacità di fornire o organizzare accesso a finanziamenti adeguati per i concessionari e i clienti finali e i rischi associati alla costituzione e alle operazioni di società di servizi finanziari; la capacità di accedere a finanziamenti per realizzare i piani industriali di Stellantis e migliorare le attività, la situazione finanziaria e i risultati operativi; un significativo malfunzionamento, interruzione o violazione della sicurezza che possa compromettere i sistemi di information technology o i sistemi di controllo elettronico contenuti nei veicoli di Stellantis; la capacità di Stellantis di realizzare i benefici previsti dagli accordi di joint venture; interruzioni dovute a instabilità politica, sociale ed economica; i rischi associati alle relazioni con dipendenti, concessionari e fornitori; aumenti dei costi, interruzioni di forniture o carenza di materie prime, parti, componenti e sistemi utilizzati nei veicoli di Stellantis; sviluppi in relazioni sindacali, industriali e nella normativa del lavoro; fluttuazioni dei tassi di cambio, variazioni dai tassi di interesse, rischio di credito e altri rischi di mercato; tensioni politiche e sociali; terremoti o altri disastri; altri rischi e incertezze.</w:t>
      </w:r>
    </w:p>
    <w:p w14:paraId="728E53A1" w14:textId="77777777" w:rsidR="001961D8" w:rsidRPr="001961D8" w:rsidRDefault="001961D8" w:rsidP="001961D8">
      <w:pPr>
        <w:spacing w:after="0" w:line="240" w:lineRule="auto"/>
        <w:jc w:val="both"/>
        <w:rPr>
          <w:rFonts w:eastAsia="Encode Sans"/>
          <w:i/>
          <w:sz w:val="18"/>
          <w:szCs w:val="18"/>
        </w:rPr>
      </w:pPr>
    </w:p>
    <w:p w14:paraId="592B40DF" w14:textId="77777777" w:rsidR="001961D8" w:rsidRPr="001961D8" w:rsidRDefault="001961D8" w:rsidP="001961D8">
      <w:pPr>
        <w:spacing w:after="0" w:line="240" w:lineRule="auto"/>
        <w:jc w:val="both"/>
        <w:rPr>
          <w:rFonts w:eastAsia="Encode Sans"/>
          <w:i/>
          <w:sz w:val="18"/>
          <w:szCs w:val="18"/>
        </w:rPr>
      </w:pPr>
      <w:r>
        <w:rPr>
          <w:i/>
          <w:sz w:val="18"/>
          <w:szCs w:val="18"/>
        </w:rPr>
        <w:t>Tutte le dichiarazioni previsionali riportate nella presente comunicazione si riferiscono solo alla data di questo documento e Stellantis declina qualsiasi obbligo di aggiornarle o rivederle pubblicamente. Ulteriori informazioni su Stellantis e le sue attività, inclusi i fattori che potrebbero materialmente influenzare i risultati finanziari di Stellantis, sono contenute nelle relazioni e nei documenti di Stellantis depositati presso la U.S. Securities and Exchange Commission e AFM.</w:t>
      </w:r>
    </w:p>
    <w:p w14:paraId="6B648EBD" w14:textId="77777777" w:rsidR="001961D8" w:rsidRPr="001961D8" w:rsidRDefault="001961D8" w:rsidP="001961D8">
      <w:pPr>
        <w:spacing w:after="240" w:line="240" w:lineRule="auto"/>
        <w:jc w:val="both"/>
        <w:rPr>
          <w:rFonts w:ascii="Arial" w:hAnsi="Arial" w:cs="Arial"/>
        </w:rPr>
      </w:pPr>
    </w:p>
    <w:p w14:paraId="2196BD88" w14:textId="77777777" w:rsidR="00B52610" w:rsidRDefault="00B52610"/>
    <w:sectPr w:rsidR="00B52610" w:rsidSect="00632A92">
      <w:headerReference w:type="default" r:id="rId10"/>
      <w:pgSz w:w="12240" w:h="15840"/>
      <w:pgMar w:top="212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EBBB" w14:textId="77777777" w:rsidR="00C178D2" w:rsidRDefault="00C178D2">
      <w:pPr>
        <w:spacing w:after="0" w:line="240" w:lineRule="auto"/>
      </w:pPr>
      <w:r>
        <w:separator/>
      </w:r>
    </w:p>
  </w:endnote>
  <w:endnote w:type="continuationSeparator" w:id="0">
    <w:p w14:paraId="4E1CD700" w14:textId="77777777" w:rsidR="00C178D2" w:rsidRDefault="00C1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ExpandedLight">
    <w:panose1 w:val="00000000000000000000"/>
    <w:charset w:val="00"/>
    <w:family w:val="auto"/>
    <w:pitch w:val="variable"/>
    <w:sig w:usb0="A00000FF" w:usb1="4000207B" w:usb2="00000000" w:usb3="00000000" w:csb0="00000193"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5094" w14:textId="77777777" w:rsidR="00C178D2" w:rsidRDefault="00C178D2">
      <w:pPr>
        <w:spacing w:after="0" w:line="240" w:lineRule="auto"/>
      </w:pPr>
      <w:r>
        <w:separator/>
      </w:r>
    </w:p>
  </w:footnote>
  <w:footnote w:type="continuationSeparator" w:id="0">
    <w:p w14:paraId="0F617CD3" w14:textId="77777777" w:rsidR="00C178D2" w:rsidRDefault="00C17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6BB9" w14:textId="2B56453A" w:rsidR="005A391D" w:rsidRPr="00A82975" w:rsidRDefault="00583A13" w:rsidP="00267C87">
    <w:pPr>
      <w:pStyle w:val="Header"/>
      <w:tabs>
        <w:tab w:val="clear" w:pos="4986"/>
        <w:tab w:val="clear" w:pos="9972"/>
        <w:tab w:val="right" w:pos="9360"/>
      </w:tabs>
      <w:rPr>
        <w:color w:val="FF0000"/>
      </w:rPr>
    </w:pPr>
    <w:r>
      <w:rPr>
        <w:noProof/>
      </w:rPr>
      <w:drawing>
        <wp:anchor distT="0" distB="0" distL="114300" distR="114300" simplePos="0" relativeHeight="251663360" behindDoc="1" locked="0" layoutInCell="1" allowOverlap="1" wp14:anchorId="6D93F2FD" wp14:editId="49334AB5">
          <wp:simplePos x="0" y="0"/>
          <wp:positionH relativeFrom="margin">
            <wp:posOffset>2208530</wp:posOffset>
          </wp:positionH>
          <wp:positionV relativeFrom="paragraph">
            <wp:posOffset>207645</wp:posOffset>
          </wp:positionV>
          <wp:extent cx="1524000" cy="771525"/>
          <wp:effectExtent l="0" t="0" r="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5010"/>
                  <a:stretch/>
                </pic:blipFill>
                <pic:spPr bwMode="auto">
                  <a:xfrm>
                    <a:off x="0" y="0"/>
                    <a:ext cx="152400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7C87">
      <w:rPr>
        <w:noProof/>
      </w:rPr>
      <w:drawing>
        <wp:anchor distT="0" distB="0" distL="114300" distR="114300" simplePos="0" relativeHeight="251659264" behindDoc="1" locked="0" layoutInCell="1" allowOverlap="1" wp14:anchorId="316E3DDA" wp14:editId="27AA9B76">
          <wp:simplePos x="0" y="0"/>
          <wp:positionH relativeFrom="column">
            <wp:posOffset>0</wp:posOffset>
          </wp:positionH>
          <wp:positionV relativeFrom="paragraph">
            <wp:posOffset>-433705</wp:posOffset>
          </wp:positionV>
          <wp:extent cx="5943600" cy="113093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26370"/>
                  <a:stretch/>
                </pic:blipFill>
                <pic:spPr bwMode="auto">
                  <a:xfrm>
                    <a:off x="0" y="0"/>
                    <a:ext cx="5943600" cy="113093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D2D82">
      <w:rPr>
        <w:noProof/>
      </w:rPr>
      <mc:AlternateContent>
        <mc:Choice Requires="wps">
          <w:drawing>
            <wp:anchor distT="0" distB="0" distL="114300" distR="114300" simplePos="0" relativeHeight="251662336" behindDoc="0" locked="0" layoutInCell="1" allowOverlap="1" wp14:anchorId="55D60BB7" wp14:editId="51292E81">
              <wp:simplePos x="0" y="0"/>
              <wp:positionH relativeFrom="column">
                <wp:posOffset>1755965</wp:posOffset>
              </wp:positionH>
              <wp:positionV relativeFrom="paragraph">
                <wp:posOffset>-398780</wp:posOffset>
              </wp:positionV>
              <wp:extent cx="2562225" cy="1095375"/>
              <wp:effectExtent l="0" t="0" r="9525" b="9525"/>
              <wp:wrapNone/>
              <wp:docPr id="4" name="Rectangle 4"/>
              <wp:cNvGraphicFramePr/>
              <a:graphic xmlns:a="http://schemas.openxmlformats.org/drawingml/2006/main">
                <a:graphicData uri="http://schemas.microsoft.com/office/word/2010/wordprocessingShape">
                  <wps:wsp>
                    <wps:cNvSpPr/>
                    <wps:spPr>
                      <a:xfrm>
                        <a:off x="0" y="0"/>
                        <a:ext cx="2562225" cy="1095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50DF1" w14:textId="77777777" w:rsidR="00DD2D82" w:rsidRDefault="00DD2D82" w:rsidP="00DD2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5D60BB7" id="Rectangle 4" o:spid="_x0000_s1026" style="position:absolute;margin-left:138.25pt;margin-top:-31.4pt;width:201.75pt;height:8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" fillcolor="white [3212]" stroked="f" strokeweight="1pt">
              <v:textbox>
                <w:txbxContent>
                  <w:p w14:paraId="24250DF1" w14:textId="77777777" w:rsidR="00DD2D82" w:rsidRDefault="00DD2D82" w:rsidP="00DD2D82">
                    <w:pPr>
                      <w:jc w:val="center"/>
                    </w:pPr>
                  </w:p>
                </w:txbxContent>
              </v:textbox>
            </v:rect>
          </w:pict>
        </mc:Fallback>
      </mc:AlternateContent>
    </w:r>
    <w:r w:rsidR="00652E5E">
      <w:t xml:space="preserve">                 </w:t>
    </w:r>
    <w:r w:rsidR="00267C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1E21"/>
    <w:multiLevelType w:val="hybridMultilevel"/>
    <w:tmpl w:val="1E04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27882"/>
    <w:multiLevelType w:val="hybridMultilevel"/>
    <w:tmpl w:val="BB90FC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D1"/>
    <w:rsid w:val="000531EB"/>
    <w:rsid w:val="0009176A"/>
    <w:rsid w:val="000C07C9"/>
    <w:rsid w:val="001961D8"/>
    <w:rsid w:val="00267C87"/>
    <w:rsid w:val="00292655"/>
    <w:rsid w:val="00333C17"/>
    <w:rsid w:val="003B4815"/>
    <w:rsid w:val="003C1E6C"/>
    <w:rsid w:val="00441955"/>
    <w:rsid w:val="00505C63"/>
    <w:rsid w:val="005118E9"/>
    <w:rsid w:val="0052246E"/>
    <w:rsid w:val="00552D58"/>
    <w:rsid w:val="00583A13"/>
    <w:rsid w:val="005B2C49"/>
    <w:rsid w:val="005C76A5"/>
    <w:rsid w:val="005E7037"/>
    <w:rsid w:val="00652E5E"/>
    <w:rsid w:val="00662BAA"/>
    <w:rsid w:val="006E5E4B"/>
    <w:rsid w:val="0077737C"/>
    <w:rsid w:val="00781D08"/>
    <w:rsid w:val="0083139E"/>
    <w:rsid w:val="008713DF"/>
    <w:rsid w:val="008B0104"/>
    <w:rsid w:val="009461BF"/>
    <w:rsid w:val="00A35596"/>
    <w:rsid w:val="00A4706D"/>
    <w:rsid w:val="00A47C01"/>
    <w:rsid w:val="00A824AE"/>
    <w:rsid w:val="00A8297F"/>
    <w:rsid w:val="00A8594E"/>
    <w:rsid w:val="00AF0A42"/>
    <w:rsid w:val="00B2768C"/>
    <w:rsid w:val="00B52610"/>
    <w:rsid w:val="00BC2EA1"/>
    <w:rsid w:val="00C05137"/>
    <w:rsid w:val="00C178D2"/>
    <w:rsid w:val="00C35D7A"/>
    <w:rsid w:val="00CE0D91"/>
    <w:rsid w:val="00D23426"/>
    <w:rsid w:val="00D32E93"/>
    <w:rsid w:val="00D65F79"/>
    <w:rsid w:val="00DD2D82"/>
    <w:rsid w:val="00E14CBF"/>
    <w:rsid w:val="00E23DA6"/>
    <w:rsid w:val="00F10DD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88B36"/>
  <w15:chartTrackingRefBased/>
  <w15:docId w15:val="{57C25DEB-0FE5-4B0D-98FA-4CB31CEE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1D8"/>
    <w:pPr>
      <w:tabs>
        <w:tab w:val="center" w:pos="4986"/>
        <w:tab w:val="right" w:pos="9972"/>
      </w:tabs>
      <w:spacing w:after="0" w:line="240" w:lineRule="auto"/>
    </w:pPr>
  </w:style>
  <w:style w:type="character" w:customStyle="1" w:styleId="HeaderChar">
    <w:name w:val="Header Char"/>
    <w:basedOn w:val="DefaultParagraphFont"/>
    <w:link w:val="Header"/>
    <w:uiPriority w:val="99"/>
    <w:rsid w:val="001961D8"/>
  </w:style>
  <w:style w:type="table" w:styleId="TableGrid">
    <w:name w:val="Table Grid"/>
    <w:basedOn w:val="TableNormal"/>
    <w:uiPriority w:val="59"/>
    <w:rsid w:val="001961D8"/>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D82"/>
    <w:rPr>
      <w:color w:val="0563C1" w:themeColor="hyperlink"/>
      <w:u w:val="single"/>
    </w:rPr>
  </w:style>
  <w:style w:type="paragraph" w:styleId="Footer">
    <w:name w:val="footer"/>
    <w:basedOn w:val="Normal"/>
    <w:link w:val="FooterChar"/>
    <w:uiPriority w:val="99"/>
    <w:unhideWhenUsed/>
    <w:rsid w:val="00DD2D82"/>
    <w:pPr>
      <w:tabs>
        <w:tab w:val="center" w:pos="4819"/>
        <w:tab w:val="right" w:pos="9638"/>
      </w:tabs>
      <w:spacing w:after="0" w:line="240" w:lineRule="auto"/>
    </w:pPr>
  </w:style>
  <w:style w:type="character" w:customStyle="1" w:styleId="FooterChar">
    <w:name w:val="Footer Char"/>
    <w:basedOn w:val="DefaultParagraphFont"/>
    <w:link w:val="Footer"/>
    <w:uiPriority w:val="99"/>
    <w:rsid w:val="00DD2D82"/>
  </w:style>
  <w:style w:type="paragraph" w:styleId="Revision">
    <w:name w:val="Revision"/>
    <w:hidden/>
    <w:uiPriority w:val="99"/>
    <w:semiHidden/>
    <w:rsid w:val="005B2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c.com.tr/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unications@stellantis.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han.kiziltan@tofas.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4DF39D7503452892BDDD3109D14F90"/>
        <w:category>
          <w:name w:val="General"/>
          <w:gallery w:val="placeholder"/>
        </w:category>
        <w:types>
          <w:type w:val="bbPlcHdr"/>
        </w:types>
        <w:behaviors>
          <w:behavior w:val="content"/>
        </w:behaviors>
        <w:guid w:val="{33255E00-FC7C-4213-A79D-A216A0DA8BBE}"/>
      </w:docPartPr>
      <w:docPartBody>
        <w:p w:rsidR="006E710A" w:rsidRDefault="00D4725A" w:rsidP="00D4725A">
          <w:pPr>
            <w:pStyle w:val="F14DF39D7503452892BDDD3109D14F90"/>
          </w:pPr>
          <w:r w:rsidRPr="0086416D">
            <w:rPr>
              <w:rStyle w:val="PlaceholderText"/>
              <w:b/>
              <w:color w:val="44546A" w:themeColor="text2"/>
            </w:rPr>
            <w:t>First name LAST NAME</w:t>
          </w:r>
        </w:p>
      </w:docPartBody>
    </w:docPart>
    <w:docPart>
      <w:docPartPr>
        <w:name w:val="81029A5FC47240919DDEFF569FCEBDE2"/>
        <w:category>
          <w:name w:val="General"/>
          <w:gallery w:val="placeholder"/>
        </w:category>
        <w:types>
          <w:type w:val="bbPlcHdr"/>
        </w:types>
        <w:behaviors>
          <w:behavior w:val="content"/>
        </w:behaviors>
        <w:guid w:val="{0FCC7EF4-76FB-46CB-95E7-7DEB5AE5F927}"/>
      </w:docPartPr>
      <w:docPartBody>
        <w:p w:rsidR="006E710A" w:rsidRDefault="00D4725A" w:rsidP="00D4725A">
          <w:pPr>
            <w:pStyle w:val="81029A5FC47240919DDEFF569FCEBDE2"/>
          </w:pPr>
          <w:r w:rsidRPr="0086416D">
            <w:rPr>
              <w:rStyle w:val="PlaceholderText"/>
              <w:b/>
              <w:color w:val="44546A" w:themeColor="text2"/>
            </w:rPr>
            <w:t>First name LAST NAME</w:t>
          </w:r>
        </w:p>
      </w:docPartBody>
    </w:docPart>
    <w:docPart>
      <w:docPartPr>
        <w:name w:val="D7E7B34A2B854B02AC87C7EF62E88A19"/>
        <w:category>
          <w:name w:val="General"/>
          <w:gallery w:val="placeholder"/>
        </w:category>
        <w:types>
          <w:type w:val="bbPlcHdr"/>
        </w:types>
        <w:behaviors>
          <w:behavior w:val="content"/>
        </w:behaviors>
        <w:guid w:val="{706039F5-54BA-413E-8EA4-FE9EDB527B17}"/>
      </w:docPartPr>
      <w:docPartBody>
        <w:p w:rsidR="006E710A" w:rsidRDefault="00D4725A" w:rsidP="00D4725A">
          <w:pPr>
            <w:pStyle w:val="D7E7B34A2B854B02AC87C7EF62E88A19"/>
          </w:pPr>
          <w:r w:rsidRPr="0086416D">
            <w:rPr>
              <w:rStyle w:val="PlaceholderText"/>
              <w:b/>
              <w:color w:val="44546A" w:themeColor="text2"/>
            </w:rPr>
            <w:t>First name LAST NAME</w:t>
          </w:r>
        </w:p>
      </w:docPartBody>
    </w:docPart>
    <w:docPart>
      <w:docPartPr>
        <w:name w:val="2F476C15226A4E1BBB37B2475CBBE515"/>
        <w:category>
          <w:name w:val="General"/>
          <w:gallery w:val="placeholder"/>
        </w:category>
        <w:types>
          <w:type w:val="bbPlcHdr"/>
        </w:types>
        <w:behaviors>
          <w:behavior w:val="content"/>
        </w:behaviors>
        <w:guid w:val="{A4B43912-0558-4EB1-A5B6-C2776E35B355}"/>
      </w:docPartPr>
      <w:docPartBody>
        <w:p w:rsidR="006E710A" w:rsidRDefault="00D4725A" w:rsidP="00D4725A">
          <w:pPr>
            <w:pStyle w:val="2F476C15226A4E1BBB37B2475CBBE515"/>
          </w:pPr>
          <w:r w:rsidRPr="0086416D">
            <w:rPr>
              <w:rStyle w:val="PlaceholderText"/>
              <w:b/>
              <w:color w:val="44546A" w:themeColor="text2"/>
            </w:rPr>
            <w:t>First name LAST NAME</w:t>
          </w:r>
        </w:p>
      </w:docPartBody>
    </w:docPart>
    <w:docPart>
      <w:docPartPr>
        <w:name w:val="92AB9E91A862478C9D9355BDB73AC046"/>
        <w:category>
          <w:name w:val="General"/>
          <w:gallery w:val="placeholder"/>
        </w:category>
        <w:types>
          <w:type w:val="bbPlcHdr"/>
        </w:types>
        <w:behaviors>
          <w:behavior w:val="content"/>
        </w:behaviors>
        <w:guid w:val="{3CB39AE0-FB7E-4852-8CFA-E0D1CECDD03B}"/>
      </w:docPartPr>
      <w:docPartBody>
        <w:p w:rsidR="006E710A" w:rsidRDefault="00D4725A" w:rsidP="00D4725A">
          <w:pPr>
            <w:pStyle w:val="92AB9E91A862478C9D9355BDB73AC046"/>
          </w:pPr>
          <w:r w:rsidRPr="0086416D">
            <w:rPr>
              <w:rFonts w:ascii="Encode Sans ExpandedThin" w:hAnsi="Encode Sans ExpandedThin"/>
              <w:color w:val="44546A" w:themeColor="text2"/>
            </w:rPr>
            <w:t>+33 0 00 00 00 00</w:t>
          </w:r>
          <w:r w:rsidRPr="0086416D">
            <w:rPr>
              <w:rStyle w:val="PlaceholderText"/>
              <w:rFonts w:ascii="Encode Sans ExpandedThin" w:hAnsi="Encode Sans ExpandedThin"/>
            </w:rPr>
            <w:t>.</w:t>
          </w:r>
        </w:p>
      </w:docPartBody>
    </w:docPart>
    <w:docPart>
      <w:docPartPr>
        <w:name w:val="B2FD958878D0482C929C0412B1DAC7A6"/>
        <w:category>
          <w:name w:val="General"/>
          <w:gallery w:val="placeholder"/>
        </w:category>
        <w:types>
          <w:type w:val="bbPlcHdr"/>
        </w:types>
        <w:behaviors>
          <w:behavior w:val="content"/>
        </w:behaviors>
        <w:guid w:val="{419279EB-998E-4401-8D04-758D05E06862}"/>
      </w:docPartPr>
      <w:docPartBody>
        <w:p w:rsidR="006E710A" w:rsidRDefault="00D4725A" w:rsidP="00D4725A">
          <w:pPr>
            <w:pStyle w:val="B2FD958878D0482C929C0412B1DAC7A6"/>
          </w:pPr>
          <w:r w:rsidRPr="0086416D">
            <w:rPr>
              <w:rStyle w:val="PlaceholderText"/>
              <w:b/>
              <w:color w:val="44546A" w:themeColor="text2"/>
            </w:rPr>
            <w:t>First name LAST NAME</w:t>
          </w:r>
        </w:p>
      </w:docPartBody>
    </w:docPart>
    <w:docPart>
      <w:docPartPr>
        <w:name w:val="77E8613ECFC84247929CBF48D657A96C"/>
        <w:category>
          <w:name w:val="General"/>
          <w:gallery w:val="placeholder"/>
        </w:category>
        <w:types>
          <w:type w:val="bbPlcHdr"/>
        </w:types>
        <w:behaviors>
          <w:behavior w:val="content"/>
        </w:behaviors>
        <w:guid w:val="{7671493C-D736-4837-8B39-4C8D953D4FEA}"/>
      </w:docPartPr>
      <w:docPartBody>
        <w:p w:rsidR="006E710A" w:rsidRDefault="00D4725A" w:rsidP="00D4725A">
          <w:pPr>
            <w:pStyle w:val="77E8613ECFC84247929CBF48D657A96C"/>
          </w:pPr>
          <w:r w:rsidRPr="0086416D">
            <w:rPr>
              <w:rStyle w:val="PlaceholderText"/>
              <w:b/>
              <w:color w:val="44546A" w:themeColor="text2"/>
            </w:rPr>
            <w:t>First name LAST NAME</w:t>
          </w:r>
        </w:p>
      </w:docPartBody>
    </w:docPart>
    <w:docPart>
      <w:docPartPr>
        <w:name w:val="B4E7AD92D03F4C48AE424416AC23E469"/>
        <w:category>
          <w:name w:val="Generale"/>
          <w:gallery w:val="placeholder"/>
        </w:category>
        <w:types>
          <w:type w:val="bbPlcHdr"/>
        </w:types>
        <w:behaviors>
          <w:behavior w:val="content"/>
        </w:behaviors>
        <w:guid w:val="{24994842-59A1-4ADA-B39B-FF7A7F881B23}"/>
      </w:docPartPr>
      <w:docPartBody>
        <w:p w:rsidR="00E764BD" w:rsidRDefault="001E42DC" w:rsidP="001E42DC">
          <w:pPr>
            <w:pStyle w:val="B4E7AD92D03F4C48AE424416AC23E469"/>
          </w:pPr>
          <w:r w:rsidRPr="0086416D">
            <w:rPr>
              <w:rStyle w:val="PlaceholderText"/>
              <w:b/>
              <w:color w:val="44546A" w:themeColor="text2"/>
            </w:rPr>
            <w:t>First name LAST NAME</w:t>
          </w:r>
        </w:p>
      </w:docPartBody>
    </w:docPart>
    <w:docPart>
      <w:docPartPr>
        <w:name w:val="9462B95DF870406589C916E3A602556F"/>
        <w:category>
          <w:name w:val="Generale"/>
          <w:gallery w:val="placeholder"/>
        </w:category>
        <w:types>
          <w:type w:val="bbPlcHdr"/>
        </w:types>
        <w:behaviors>
          <w:behavior w:val="content"/>
        </w:behaviors>
        <w:guid w:val="{3F34CD75-35E4-4E51-98B7-BF8848A586E0}"/>
      </w:docPartPr>
      <w:docPartBody>
        <w:p w:rsidR="00E764BD" w:rsidRDefault="001E42DC" w:rsidP="001E42DC">
          <w:pPr>
            <w:pStyle w:val="9462B95DF870406589C916E3A602556F"/>
          </w:pPr>
          <w:r w:rsidRPr="0086416D">
            <w:rPr>
              <w:rStyle w:val="PlaceholderText"/>
              <w:b/>
              <w:color w:val="44546A" w:themeColor="text2"/>
            </w:rPr>
            <w:t>First name LAST NAME</w:t>
          </w:r>
        </w:p>
      </w:docPartBody>
    </w:docPart>
    <w:docPart>
      <w:docPartPr>
        <w:name w:val="14F7E05A4AE54D1DAD042F1064BEAEC5"/>
        <w:category>
          <w:name w:val="Generale"/>
          <w:gallery w:val="placeholder"/>
        </w:category>
        <w:types>
          <w:type w:val="bbPlcHdr"/>
        </w:types>
        <w:behaviors>
          <w:behavior w:val="content"/>
        </w:behaviors>
        <w:guid w:val="{6254AC10-B348-44E1-B221-616D0ABA5BDA}"/>
      </w:docPartPr>
      <w:docPartBody>
        <w:p w:rsidR="00E764BD" w:rsidRDefault="001E42DC" w:rsidP="001E42DC">
          <w:pPr>
            <w:pStyle w:val="14F7E05A4AE54D1DAD042F1064BEAEC5"/>
          </w:pPr>
          <w:r w:rsidRPr="0086416D">
            <w:rPr>
              <w:rFonts w:ascii="Encode Sans ExpandedThin" w:hAnsi="Encode Sans ExpandedThin"/>
              <w:color w:val="44546A" w:themeColor="text2"/>
            </w:rPr>
            <w:t>+33 0 00 00 00 00</w:t>
          </w:r>
          <w:r w:rsidRPr="0086416D">
            <w:rPr>
              <w:rStyle w:val="PlaceholderText"/>
              <w:rFonts w:ascii="Encode Sans ExpandedThin" w:hAnsi="Encode Sans ExpandedTh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ExpandedLight">
    <w:panose1 w:val="00000000000000000000"/>
    <w:charset w:val="00"/>
    <w:family w:val="auto"/>
    <w:pitch w:val="variable"/>
    <w:sig w:usb0="A00000FF" w:usb1="4000207B" w:usb2="00000000" w:usb3="00000000" w:csb0="00000193"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Encode Sans ExpandedThin">
    <w:panose1 w:val="00000000000000000000"/>
    <w:charset w:val="00"/>
    <w:family w:val="auto"/>
    <w:pitch w:val="variable"/>
    <w:sig w:usb0="A00000FF" w:usb1="4000207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25A"/>
    <w:rsid w:val="000273FD"/>
    <w:rsid w:val="001E42DC"/>
    <w:rsid w:val="00332EFB"/>
    <w:rsid w:val="00696C91"/>
    <w:rsid w:val="006E710A"/>
    <w:rsid w:val="007C50A8"/>
    <w:rsid w:val="009607DC"/>
    <w:rsid w:val="00D4725A"/>
    <w:rsid w:val="00E764BD"/>
    <w:rsid w:val="00EB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2DC"/>
  </w:style>
  <w:style w:type="paragraph" w:customStyle="1" w:styleId="F14DF39D7503452892BDDD3109D14F90">
    <w:name w:val="F14DF39D7503452892BDDD3109D14F90"/>
    <w:rsid w:val="00D4725A"/>
  </w:style>
  <w:style w:type="paragraph" w:customStyle="1" w:styleId="81029A5FC47240919DDEFF569FCEBDE2">
    <w:name w:val="81029A5FC47240919DDEFF569FCEBDE2"/>
    <w:rsid w:val="00D4725A"/>
  </w:style>
  <w:style w:type="paragraph" w:customStyle="1" w:styleId="D7E7B34A2B854B02AC87C7EF62E88A19">
    <w:name w:val="D7E7B34A2B854B02AC87C7EF62E88A19"/>
    <w:rsid w:val="00D4725A"/>
  </w:style>
  <w:style w:type="paragraph" w:customStyle="1" w:styleId="2F476C15226A4E1BBB37B2475CBBE515">
    <w:name w:val="2F476C15226A4E1BBB37B2475CBBE515"/>
    <w:rsid w:val="00D4725A"/>
  </w:style>
  <w:style w:type="paragraph" w:customStyle="1" w:styleId="92AB9E91A862478C9D9355BDB73AC046">
    <w:name w:val="92AB9E91A862478C9D9355BDB73AC046"/>
    <w:rsid w:val="00D4725A"/>
  </w:style>
  <w:style w:type="paragraph" w:customStyle="1" w:styleId="B2FD958878D0482C929C0412B1DAC7A6">
    <w:name w:val="B2FD958878D0482C929C0412B1DAC7A6"/>
    <w:rsid w:val="00D4725A"/>
  </w:style>
  <w:style w:type="paragraph" w:customStyle="1" w:styleId="77E8613ECFC84247929CBF48D657A96C">
    <w:name w:val="77E8613ECFC84247929CBF48D657A96C"/>
    <w:rsid w:val="00D4725A"/>
  </w:style>
  <w:style w:type="paragraph" w:customStyle="1" w:styleId="B4E7AD92D03F4C48AE424416AC23E469">
    <w:name w:val="B4E7AD92D03F4C48AE424416AC23E469"/>
    <w:rsid w:val="001E42DC"/>
    <w:rPr>
      <w:lang w:val="it-IT" w:eastAsia="it-IT"/>
    </w:rPr>
  </w:style>
  <w:style w:type="paragraph" w:customStyle="1" w:styleId="9462B95DF870406589C916E3A602556F">
    <w:name w:val="9462B95DF870406589C916E3A602556F"/>
    <w:rsid w:val="001E42DC"/>
    <w:rPr>
      <w:lang w:val="it-IT" w:eastAsia="it-IT"/>
    </w:rPr>
  </w:style>
  <w:style w:type="paragraph" w:customStyle="1" w:styleId="14F7E05A4AE54D1DAD042F1064BEAEC5">
    <w:name w:val="14F7E05A4AE54D1DAD042F1064BEAEC5"/>
    <w:rsid w:val="001E42DC"/>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1914</Words>
  <Characters>10914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FOSSATI</dc:creator>
  <cp:keywords/>
  <dc:description/>
  <cp:lastModifiedBy>KAILEEN</cp:lastModifiedBy>
  <cp:revision>2</cp:revision>
  <dcterms:created xsi:type="dcterms:W3CDTF">2023-03-01T15:43:00Z</dcterms:created>
  <dcterms:modified xsi:type="dcterms:W3CDTF">2023-03-01T15:43:00Z</dcterms:modified>
</cp:coreProperties>
</file>